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7C51" w:rsidRPr="00D25ACA" w:rsidRDefault="00887C51" w:rsidP="00887C51">
      <w:pPr>
        <w:pStyle w:val="BodyText"/>
        <w:ind w:left="-180" w:right="-563" w:firstLine="888"/>
        <w:jc w:val="center"/>
        <w:rPr>
          <w:b/>
          <w:bCs/>
          <w:sz w:val="24"/>
          <w:szCs w:val="24"/>
        </w:rPr>
      </w:pPr>
      <w:r w:rsidRPr="00D25ACA">
        <w:rPr>
          <w:b/>
          <w:bCs/>
          <w:sz w:val="24"/>
          <w:szCs w:val="24"/>
        </w:rPr>
        <w:t>Considerații cu privire la valoarea trupului omenesc și la raportul dintre antropologia teologică și teoria evoluției</w:t>
      </w:r>
    </w:p>
    <w:p w:rsidR="00887C51" w:rsidRPr="00D25ACA" w:rsidRDefault="00887C51" w:rsidP="00887C51">
      <w:pPr>
        <w:pStyle w:val="BodyText"/>
        <w:tabs>
          <w:tab w:val="left" w:pos="860"/>
        </w:tabs>
        <w:ind w:left="-180" w:right="-563" w:firstLine="0"/>
        <w:jc w:val="center"/>
        <w:rPr>
          <w:b/>
          <w:bCs/>
          <w:sz w:val="24"/>
          <w:szCs w:val="24"/>
        </w:rPr>
      </w:pPr>
    </w:p>
    <w:p w:rsidR="00887C51" w:rsidRPr="00D25ACA" w:rsidRDefault="00887C51" w:rsidP="00887C51">
      <w:pPr>
        <w:pStyle w:val="BodyText"/>
        <w:tabs>
          <w:tab w:val="left" w:pos="860"/>
        </w:tabs>
        <w:ind w:left="-180" w:right="-563" w:firstLine="0"/>
        <w:rPr>
          <w:b/>
          <w:bCs/>
          <w:sz w:val="24"/>
          <w:szCs w:val="24"/>
        </w:rPr>
      </w:pPr>
    </w:p>
    <w:p w:rsidR="00887C51" w:rsidRPr="00D25ACA" w:rsidRDefault="00887C51" w:rsidP="00887C51">
      <w:pPr>
        <w:pStyle w:val="BodyText"/>
        <w:tabs>
          <w:tab w:val="left" w:pos="860"/>
        </w:tabs>
        <w:ind w:left="-180" w:right="-563" w:firstLine="0"/>
        <w:rPr>
          <w:b/>
          <w:bCs/>
          <w:sz w:val="24"/>
          <w:szCs w:val="24"/>
        </w:rPr>
      </w:pPr>
    </w:p>
    <w:p w:rsidR="00887C51" w:rsidRPr="00D25ACA" w:rsidRDefault="00887C51" w:rsidP="00887C51">
      <w:pPr>
        <w:pStyle w:val="BodyText"/>
        <w:ind w:left="-180" w:right="-563" w:firstLine="0"/>
        <w:rPr>
          <w:i/>
          <w:sz w:val="24"/>
          <w:szCs w:val="24"/>
        </w:rPr>
      </w:pPr>
      <w:r w:rsidRPr="00D25ACA">
        <w:rPr>
          <w:b/>
          <w:bCs/>
          <w:i/>
          <w:sz w:val="24"/>
          <w:szCs w:val="24"/>
        </w:rPr>
        <w:t>1.Preliminarii</w:t>
      </w:r>
    </w:p>
    <w:p w:rsidR="00887C51" w:rsidRPr="00D25ACA" w:rsidRDefault="00887C51" w:rsidP="00887C51">
      <w:pPr>
        <w:autoSpaceDE w:val="0"/>
        <w:autoSpaceDN w:val="0"/>
        <w:adjustRightInd w:val="0"/>
        <w:spacing w:after="0" w:line="240" w:lineRule="auto"/>
        <w:ind w:left="-180" w:right="-563" w:firstLine="810"/>
        <w:jc w:val="both"/>
        <w:rPr>
          <w:rFonts w:ascii="Times New Roman" w:hAnsi="Times New Roman"/>
          <w:sz w:val="24"/>
          <w:szCs w:val="24"/>
        </w:rPr>
      </w:pPr>
    </w:p>
    <w:p w:rsidR="00887C51" w:rsidRPr="00D25ACA" w:rsidRDefault="00887C51" w:rsidP="00887C51">
      <w:pPr>
        <w:autoSpaceDE w:val="0"/>
        <w:autoSpaceDN w:val="0"/>
        <w:adjustRightInd w:val="0"/>
        <w:spacing w:after="0" w:line="240" w:lineRule="auto"/>
        <w:ind w:left="-180" w:right="-563" w:firstLine="810"/>
        <w:jc w:val="both"/>
        <w:rPr>
          <w:rFonts w:ascii="Times New Roman" w:hAnsi="Times New Roman"/>
          <w:sz w:val="24"/>
          <w:szCs w:val="24"/>
        </w:rPr>
      </w:pPr>
      <w:r w:rsidRPr="00D25ACA">
        <w:rPr>
          <w:rFonts w:ascii="Times New Roman" w:hAnsi="Times New Roman"/>
          <w:sz w:val="24"/>
          <w:szCs w:val="24"/>
        </w:rPr>
        <w:t>Tematica trupului omenesc</w:t>
      </w:r>
      <w:r w:rsidRPr="00D25ACA">
        <w:rPr>
          <w:rStyle w:val="FootnoteReference"/>
          <w:rFonts w:ascii="Times New Roman" w:hAnsi="Times New Roman"/>
          <w:sz w:val="24"/>
          <w:szCs w:val="24"/>
        </w:rPr>
        <w:footnoteReference w:id="1"/>
      </w:r>
      <w:r w:rsidRPr="00D25ACA">
        <w:rPr>
          <w:rFonts w:ascii="Times New Roman" w:hAnsi="Times New Roman"/>
          <w:sz w:val="24"/>
          <w:szCs w:val="24"/>
        </w:rPr>
        <w:t xml:space="preserve"> este una dintre cele mai mult dezb</w:t>
      </w:r>
      <w:r w:rsidRPr="00D25ACA">
        <w:rPr>
          <w:rFonts w:ascii="Times New Roman" w:hAnsi="Times New Roman"/>
          <w:sz w:val="24"/>
          <w:szCs w:val="24"/>
          <w:lang w:val="ro-RO"/>
        </w:rPr>
        <w:t>ătute în societatea și cultura modernă.</w:t>
      </w:r>
      <w:r w:rsidRPr="00D25ACA">
        <w:rPr>
          <w:rFonts w:ascii="Times New Roman" w:hAnsi="Times New Roman"/>
          <w:sz w:val="24"/>
          <w:szCs w:val="24"/>
        </w:rPr>
        <w:t xml:space="preserve"> Accentuarea valorii trupului omenesc ca </w:t>
      </w:r>
      <w:r w:rsidRPr="00D25ACA">
        <w:rPr>
          <w:rFonts w:ascii="Times New Roman" w:hAnsi="Times New Roman"/>
          <w:sz w:val="24"/>
          <w:szCs w:val="24"/>
          <w:lang w:val="ro-RO"/>
        </w:rPr>
        <w:t>„</w:t>
      </w:r>
      <w:r w:rsidRPr="00D25ACA">
        <w:rPr>
          <w:rFonts w:ascii="Times New Roman" w:hAnsi="Times New Roman"/>
          <w:i/>
          <w:sz w:val="24"/>
          <w:szCs w:val="24"/>
          <w:lang w:val="ro-RO"/>
        </w:rPr>
        <w:t>templu al Duhului Sfânt</w:t>
      </w:r>
      <w:r w:rsidRPr="00D25ACA">
        <w:rPr>
          <w:rFonts w:ascii="Times New Roman" w:hAnsi="Times New Roman"/>
          <w:sz w:val="24"/>
          <w:szCs w:val="24"/>
          <w:lang w:val="ro-RO"/>
        </w:rPr>
        <w:t xml:space="preserve">”(1Co6,19), are o   </w:t>
      </w:r>
      <w:r w:rsidRPr="00D25ACA">
        <w:rPr>
          <w:rFonts w:ascii="Times New Roman" w:hAnsi="Times New Roman"/>
          <w:sz w:val="24"/>
          <w:szCs w:val="24"/>
        </w:rPr>
        <w:t>relevanţă profundă  astăzi când „cultura este dominată de trup în aceeași măsură în care a fost dominată de spirit în trecut, și este interesată în mod obsedant de tot ce ține de corp”</w:t>
      </w:r>
      <w:r w:rsidRPr="00D25ACA">
        <w:rPr>
          <w:rStyle w:val="FootnoteReference"/>
          <w:rFonts w:ascii="Times New Roman" w:hAnsi="Times New Roman"/>
          <w:sz w:val="24"/>
          <w:szCs w:val="24"/>
        </w:rPr>
        <w:footnoteReference w:id="2"/>
      </w:r>
      <w:r w:rsidRPr="00D25ACA">
        <w:rPr>
          <w:rFonts w:ascii="Times New Roman" w:hAnsi="Times New Roman"/>
          <w:sz w:val="24"/>
          <w:szCs w:val="24"/>
        </w:rPr>
        <w:t xml:space="preserve">. Riscurile cele mai mari pe care le comportă preocuparea excesivă de corp, sunt de natură psihologico-hedonistă. Odată cu pierderea unor valori primare ale Bisericii, Occidentul a suferit mereu de un dezechilibru funciar în ceea ce priveşte raportarea teologică la trup şi suflet în iconomia mântuirii omului. Prima vârstă a gândirii europene indică o preeminenţă a sufletului platonic în detrimentul corporalului, culminând cu maltratarea trupului în excesele monahismului catolic medieval, ca mai apoi modernitatea să îl cultive hedonist în detrimentul vieţii sufletului. Omul contemporan este sclavul imaginii, percepţiei şi al plăcerii carnale, prin faptul că trupul şi-a pierdut din valenţele sacrului primordial. Libidoul, imponderabil prin definiţie, este o constantă măsurată şi manifestată prin intermediul trupului înfometat de senzaţie şi autocontemplaţie, </w:t>
      </w:r>
      <w:r w:rsidRPr="00D25ACA">
        <w:rPr>
          <w:rFonts w:ascii="Times New Roman" w:hAnsi="Times New Roman"/>
          <w:sz w:val="24"/>
          <w:szCs w:val="24"/>
          <w:lang w:val="ro-RO"/>
        </w:rPr>
        <w:t xml:space="preserve">și </w:t>
      </w:r>
      <w:r w:rsidRPr="00D25ACA">
        <w:rPr>
          <w:rFonts w:ascii="Times New Roman" w:hAnsi="Times New Roman"/>
          <w:sz w:val="24"/>
          <w:szCs w:val="24"/>
        </w:rPr>
        <w:t>care nu poate sfârşi decât într-un nihilism funest.</w:t>
      </w:r>
    </w:p>
    <w:p w:rsidR="00887C51" w:rsidRPr="00D25ACA" w:rsidRDefault="00887C51" w:rsidP="00887C51">
      <w:pPr>
        <w:autoSpaceDE w:val="0"/>
        <w:autoSpaceDN w:val="0"/>
        <w:adjustRightInd w:val="0"/>
        <w:spacing w:after="0" w:line="240" w:lineRule="auto"/>
        <w:ind w:left="-180" w:right="-563" w:firstLine="810"/>
        <w:jc w:val="both"/>
        <w:rPr>
          <w:rFonts w:ascii="Times New Roman" w:hAnsi="Times New Roman"/>
          <w:sz w:val="24"/>
          <w:szCs w:val="24"/>
        </w:rPr>
      </w:pPr>
      <w:r w:rsidRPr="00D25ACA">
        <w:rPr>
          <w:rFonts w:ascii="Times New Roman" w:hAnsi="Times New Roman"/>
          <w:sz w:val="24"/>
          <w:szCs w:val="24"/>
        </w:rPr>
        <w:t>Andrei Holman observa c</w:t>
      </w:r>
      <w:r w:rsidRPr="00D25ACA">
        <w:rPr>
          <w:rFonts w:ascii="Times New Roman" w:hAnsi="Times New Roman"/>
          <w:sz w:val="24"/>
          <w:szCs w:val="24"/>
          <w:lang w:val="ro-RO"/>
        </w:rPr>
        <w:t>ă</w:t>
      </w:r>
      <w:r w:rsidRPr="00D25ACA">
        <w:rPr>
          <w:rFonts w:ascii="Times New Roman" w:hAnsi="Times New Roman"/>
          <w:sz w:val="24"/>
          <w:szCs w:val="24"/>
        </w:rPr>
        <w:t xml:space="preserve"> „Religia a primit o atenție crescândă pe linia cercetării psihologice centrate pe conceptul de  </w:t>
      </w:r>
      <w:r w:rsidRPr="00D25ACA">
        <w:rPr>
          <w:rFonts w:ascii="Times New Roman" w:hAnsi="Times New Roman"/>
          <w:color w:val="222222"/>
          <w:sz w:val="24"/>
          <w:szCs w:val="24"/>
          <w:shd w:val="clear" w:color="auto" w:fill="FFFFFF"/>
        </w:rPr>
        <w:t>«</w:t>
      </w:r>
      <w:r w:rsidRPr="00D25ACA">
        <w:rPr>
          <w:rFonts w:ascii="Times New Roman" w:hAnsi="Times New Roman"/>
          <w:sz w:val="24"/>
          <w:szCs w:val="24"/>
        </w:rPr>
        <w:t>body image</w:t>
      </w:r>
      <w:r w:rsidRPr="00D25ACA">
        <w:rPr>
          <w:rFonts w:ascii="Times New Roman" w:hAnsi="Times New Roman"/>
          <w:color w:val="222222"/>
          <w:sz w:val="24"/>
          <w:szCs w:val="24"/>
          <w:shd w:val="clear" w:color="auto" w:fill="FFFFFF"/>
        </w:rPr>
        <w:t xml:space="preserve"> »</w:t>
      </w:r>
      <w:r w:rsidRPr="00D25ACA">
        <w:rPr>
          <w:rFonts w:ascii="Times New Roman" w:hAnsi="Times New Roman"/>
          <w:sz w:val="24"/>
          <w:szCs w:val="24"/>
        </w:rPr>
        <w:t xml:space="preserve">, definit în general ca o </w:t>
      </w:r>
      <w:r w:rsidRPr="00D25ACA">
        <w:rPr>
          <w:rFonts w:ascii="Times New Roman" w:hAnsi="Times New Roman"/>
          <w:color w:val="222222"/>
          <w:sz w:val="24"/>
          <w:szCs w:val="24"/>
          <w:shd w:val="clear" w:color="auto" w:fill="FFFFFF"/>
        </w:rPr>
        <w:t>« alcătuire  multidimensional</w:t>
      </w:r>
      <w:r w:rsidRPr="00D25ACA">
        <w:rPr>
          <w:rFonts w:ascii="Times New Roman" w:hAnsi="Times New Roman"/>
          <w:color w:val="222222"/>
          <w:sz w:val="24"/>
          <w:szCs w:val="24"/>
          <w:shd w:val="clear" w:color="auto" w:fill="FFFFFF"/>
          <w:lang w:val="ro-RO"/>
        </w:rPr>
        <w:t>ă care se referă la experiențe cauzate de  percepții și atitudini subiective cu privire la trup, mai precis la înfățișarea fiizică</w:t>
      </w:r>
      <w:r w:rsidRPr="00D25ACA">
        <w:rPr>
          <w:rFonts w:ascii="Times New Roman" w:hAnsi="Times New Roman"/>
          <w:color w:val="222222"/>
          <w:sz w:val="24"/>
          <w:szCs w:val="24"/>
          <w:shd w:val="clear" w:color="auto" w:fill="FFFFFF"/>
        </w:rPr>
        <w:t>»</w:t>
      </w:r>
      <w:r w:rsidRPr="00D25ACA">
        <w:rPr>
          <w:rStyle w:val="FootnoteReference"/>
          <w:rFonts w:ascii="Times New Roman" w:hAnsi="Times New Roman"/>
          <w:sz w:val="24"/>
          <w:szCs w:val="24"/>
          <w:shd w:val="clear" w:color="auto" w:fill="FFFFFF"/>
        </w:rPr>
        <w:footnoteReference w:id="3"/>
      </w:r>
      <w:r w:rsidRPr="00D25ACA">
        <w:rPr>
          <w:rFonts w:ascii="Times New Roman" w:hAnsi="Times New Roman"/>
          <w:sz w:val="24"/>
          <w:szCs w:val="24"/>
        </w:rPr>
        <w:t xml:space="preserve">. În timp ce mulți cercetători din acest domeniu atrag atenția asupra presiunilor culturale înspre idealuri nesănătoase legate de trup – în special prin norma societală a </w:t>
      </w:r>
      <w:r>
        <w:rPr>
          <w:rFonts w:ascii="Times New Roman" w:hAnsi="Times New Roman"/>
          <w:sz w:val="24"/>
          <w:szCs w:val="24"/>
        </w:rPr>
        <w:t xml:space="preserve">subțirimii (greutății scăzute) </w:t>
      </w:r>
      <w:r w:rsidRPr="00D25ACA">
        <w:rPr>
          <w:rFonts w:ascii="Times New Roman" w:hAnsi="Times New Roman"/>
          <w:sz w:val="24"/>
          <w:szCs w:val="24"/>
        </w:rPr>
        <w:t>– alții încearcă să descopere caracteristici personale care mediază influența acestor presiuni. În cadrul acestei game de particularități protective din punct de vedere psihologic, religia a fost, de asemenea, luată în considerație ca o potențială apărare împotriva influențelor negative asupra percepției de sine ale standardelor socio-culturale cu privire la frumusețe”</w:t>
      </w:r>
      <w:r w:rsidRPr="00D25ACA">
        <w:rPr>
          <w:rStyle w:val="FootnoteReference"/>
          <w:rFonts w:ascii="Times New Roman" w:hAnsi="Times New Roman"/>
          <w:sz w:val="24"/>
          <w:szCs w:val="24"/>
        </w:rPr>
        <w:footnoteReference w:id="4"/>
      </w:r>
      <w:r w:rsidRPr="00D25ACA">
        <w:rPr>
          <w:rFonts w:ascii="Times New Roman" w:hAnsi="Times New Roman"/>
          <w:sz w:val="24"/>
          <w:szCs w:val="24"/>
        </w:rPr>
        <w:t xml:space="preserve">. </w:t>
      </w:r>
    </w:p>
    <w:p w:rsidR="00887C51" w:rsidRPr="00D25ACA" w:rsidRDefault="00887C51" w:rsidP="00887C51">
      <w:pPr>
        <w:pStyle w:val="BodyText"/>
        <w:ind w:left="-180" w:right="-563"/>
        <w:rPr>
          <w:spacing w:val="-2"/>
          <w:sz w:val="24"/>
          <w:szCs w:val="24"/>
        </w:rPr>
      </w:pPr>
      <w:r w:rsidRPr="00D25ACA">
        <w:rPr>
          <w:spacing w:val="-2"/>
          <w:sz w:val="24"/>
          <w:szCs w:val="24"/>
        </w:rPr>
        <w:t xml:space="preserve">Prin urmare, mai întâi de toate se impune o succintă trecere în revistă a ideilor religioase precreştine cu privire la semnificaţia şi etimologia trupului. Plotin este filosoful mistic european care, dincolo de dihotomia lansată de Platon pe care o asimilează, se apropie foarte mult de acel echilibru dintre suflet şi trup specific gânditorilor orientali. La acesta, sufletul se află în postura de mediator între dimensiunea inteligibilă şi cea sensibilă a fiinţei umane. Filosoful vorbeşte despre actul coborârii în trup cu două înţelesuri; primul, în sensul de coborâre în trup în momentul naşterii, iar a doua, o coborâre din Intelectul </w:t>
      </w:r>
      <w:r w:rsidRPr="00D25ACA">
        <w:rPr>
          <w:spacing w:val="-2"/>
          <w:sz w:val="24"/>
          <w:szCs w:val="24"/>
        </w:rPr>
        <w:lastRenderedPageBreak/>
        <w:t xml:space="preserve">transcendent al omului, în urma unirii cu Unul, unire care are loc mai presus de dimensiunea inteligibilului. Unirea cu Unul, la Plotin, se petrece în Intelect care se află în acel apofatic </w:t>
      </w:r>
      <w:r w:rsidRPr="00D25ACA">
        <w:rPr>
          <w:i/>
          <w:iCs/>
          <w:spacing w:val="-2"/>
          <w:sz w:val="24"/>
          <w:szCs w:val="24"/>
        </w:rPr>
        <w:t>înlăuntru</w:t>
      </w:r>
      <w:r w:rsidRPr="00D25ACA">
        <w:rPr>
          <w:spacing w:val="-2"/>
          <w:sz w:val="24"/>
          <w:szCs w:val="24"/>
        </w:rPr>
        <w:t xml:space="preserve"> despre care mărturisesc toţi misticii. Sufletul trebuie să </w:t>
      </w:r>
      <w:r w:rsidRPr="00D25ACA">
        <w:rPr>
          <w:i/>
          <w:iCs/>
          <w:spacing w:val="-2"/>
          <w:sz w:val="24"/>
          <w:szCs w:val="24"/>
        </w:rPr>
        <w:t>participe</w:t>
      </w:r>
      <w:r w:rsidRPr="00D25ACA">
        <w:rPr>
          <w:spacing w:val="-2"/>
          <w:sz w:val="24"/>
          <w:szCs w:val="24"/>
        </w:rPr>
        <w:t xml:space="preserve"> la partea senzorială a fiinţei, dar este obligat, în acelaşi timp, să se menţină cu precădere în zona inteligibilului şi „nu se cuvine ca el să se mânie pe sine însuşi, dacă nu toate rămân în modul cel mai bun, </w:t>
      </w:r>
      <w:r w:rsidRPr="00D25ACA">
        <w:rPr>
          <w:i/>
          <w:iCs/>
          <w:spacing w:val="-2"/>
          <w:sz w:val="24"/>
          <w:szCs w:val="24"/>
        </w:rPr>
        <w:t>dat fiind că sufletul deţine locul de mijloc în ordinea existenţială</w:t>
      </w:r>
      <w:r w:rsidRPr="00D25ACA">
        <w:rPr>
          <w:spacing w:val="-2"/>
          <w:sz w:val="24"/>
          <w:szCs w:val="24"/>
        </w:rPr>
        <w:t xml:space="preserve">, aparţinând desigur părţii divine, </w:t>
      </w:r>
      <w:r w:rsidRPr="00D25ACA">
        <w:rPr>
          <w:i/>
          <w:iCs/>
          <w:spacing w:val="-2"/>
          <w:sz w:val="24"/>
          <w:szCs w:val="24"/>
        </w:rPr>
        <w:t>dar situându-se la marginea /inferioară/ a inteligibilului</w:t>
      </w:r>
      <w:r w:rsidRPr="00D25ACA">
        <w:rPr>
          <w:spacing w:val="-2"/>
          <w:sz w:val="24"/>
          <w:szCs w:val="24"/>
        </w:rPr>
        <w:t>”</w:t>
      </w:r>
      <w:r w:rsidRPr="00D25ACA">
        <w:rPr>
          <w:rStyle w:val="FootnoteReference"/>
          <w:spacing w:val="-2"/>
          <w:sz w:val="24"/>
          <w:szCs w:val="24"/>
        </w:rPr>
        <w:footnoteReference w:id="5"/>
      </w:r>
      <w:r w:rsidRPr="00D25ACA">
        <w:rPr>
          <w:spacing w:val="-2"/>
          <w:sz w:val="24"/>
          <w:szCs w:val="24"/>
        </w:rPr>
        <w:t xml:space="preserve">. </w:t>
      </w:r>
    </w:p>
    <w:p w:rsidR="00887C51" w:rsidRPr="00D25ACA" w:rsidRDefault="00887C51" w:rsidP="00887C51">
      <w:pPr>
        <w:pStyle w:val="BodyText"/>
        <w:ind w:left="-180" w:right="-563"/>
        <w:rPr>
          <w:spacing w:val="-2"/>
          <w:sz w:val="24"/>
          <w:szCs w:val="24"/>
        </w:rPr>
      </w:pPr>
      <w:r w:rsidRPr="00D25ACA">
        <w:rPr>
          <w:spacing w:val="-2"/>
          <w:sz w:val="24"/>
          <w:szCs w:val="24"/>
        </w:rPr>
        <w:t xml:space="preserve">Mai apoi, antropologia şi metafizica </w:t>
      </w:r>
      <w:r w:rsidRPr="00D25ACA">
        <w:rPr>
          <w:i/>
          <w:spacing w:val="-2"/>
          <w:sz w:val="24"/>
          <w:szCs w:val="24"/>
        </w:rPr>
        <w:t>Upanişadelor</w:t>
      </w:r>
      <w:r w:rsidRPr="00D25ACA">
        <w:rPr>
          <w:spacing w:val="-2"/>
          <w:sz w:val="24"/>
          <w:szCs w:val="24"/>
        </w:rPr>
        <w:t xml:space="preserve"> descriu dimensiunea corpului într-o cheie antinomică, şi anume că omul este alcătuit din minte plus componentele sale: parte senzorială, organe active, trup şi lume. Ispita supremă a omului este de a se identifica pe sine, prin împătimire, cu corpul său până la confundare, și implicit cu lumea. Trupul, ca şi lumea de altfel, este o locuinţă temporară pentru suflet, însă se dovedeşte a fi de o extremă importanţă în devenirea fiinţei umane. Mai mult, importanţa trupului este dată şi de unicitatea lui în desfăşurarea vieţii, fapt care implică singularitatea experienţei pe care o poate conferi fiinţei în traseul său iniţiatic către absolut. Renunţarea la patimi nu înseamnă renunţarea la trup în sensul suprimării acestuia – cum s-ar putea face în cazul lepădării de bunurile de ordin exterior – pentru simplu motiv că ţine de esenţial în ordinea ontologicului. Aşadar, pentru </w:t>
      </w:r>
      <w:r w:rsidRPr="00D25ACA">
        <w:rPr>
          <w:i/>
          <w:spacing w:val="-2"/>
          <w:sz w:val="24"/>
          <w:szCs w:val="24"/>
        </w:rPr>
        <w:t>Upanişade</w:t>
      </w:r>
      <w:r w:rsidRPr="00D25ACA">
        <w:rPr>
          <w:spacing w:val="-2"/>
          <w:sz w:val="24"/>
          <w:szCs w:val="24"/>
        </w:rPr>
        <w:t>, trupul se prezintă ca o condiţie în sine pentru experienţa cu precădere pozitivă a omului. „De fapt, corpul mediază orice legătură a Sinelui cu Universul, şi astfel, orice experimentează Sinele este în dependenţă de corp. Altfel spus, experienţa corpului se regăseşte, într-o anumită proporţie, în orice altă experienţă a Sinelui, atâta timp cât se află în legătură cu lumea manifestată, Sinele fiind indisolubil legat de corp”</w:t>
      </w:r>
      <w:r w:rsidRPr="00D25ACA">
        <w:rPr>
          <w:rStyle w:val="FootnoteReference"/>
          <w:spacing w:val="-2"/>
          <w:sz w:val="24"/>
          <w:szCs w:val="24"/>
        </w:rPr>
        <w:footnoteReference w:id="6"/>
      </w:r>
      <w:r w:rsidRPr="00D25ACA">
        <w:rPr>
          <w:spacing w:val="-2"/>
          <w:sz w:val="24"/>
          <w:szCs w:val="24"/>
        </w:rPr>
        <w:t>.</w:t>
      </w:r>
    </w:p>
    <w:p w:rsidR="00887C51" w:rsidRPr="00D25ACA" w:rsidRDefault="00887C51" w:rsidP="00887C51">
      <w:pPr>
        <w:pStyle w:val="BodyText"/>
        <w:ind w:left="-180" w:right="-563"/>
        <w:rPr>
          <w:spacing w:val="-2"/>
          <w:sz w:val="24"/>
          <w:szCs w:val="24"/>
        </w:rPr>
      </w:pPr>
      <w:r w:rsidRPr="00D25ACA">
        <w:rPr>
          <w:spacing w:val="-2"/>
          <w:sz w:val="24"/>
          <w:szCs w:val="24"/>
        </w:rPr>
        <w:t xml:space="preserve"> Aceeaşi idee o întâlnim şi în </w:t>
      </w:r>
      <w:r w:rsidRPr="00D25ACA">
        <w:rPr>
          <w:i/>
          <w:spacing w:val="-2"/>
          <w:sz w:val="24"/>
          <w:szCs w:val="24"/>
        </w:rPr>
        <w:t xml:space="preserve">Advaita Vedānta </w:t>
      </w:r>
      <w:r w:rsidRPr="00D25ACA">
        <w:rPr>
          <w:spacing w:val="-2"/>
          <w:sz w:val="24"/>
          <w:szCs w:val="24"/>
        </w:rPr>
        <w:t>cu privire la rolul ontologic indispensabil şi de neînlocuit pe care îl are corpul în evoluţia omului. „Corpul grosier (</w:t>
      </w:r>
      <w:r w:rsidRPr="00D25ACA">
        <w:rPr>
          <w:i/>
          <w:iCs/>
          <w:spacing w:val="-2"/>
          <w:sz w:val="24"/>
          <w:szCs w:val="24"/>
        </w:rPr>
        <w:t>sthūla śarīra</w:t>
      </w:r>
      <w:r w:rsidRPr="00D25ACA">
        <w:rPr>
          <w:spacing w:val="-2"/>
          <w:sz w:val="24"/>
          <w:szCs w:val="24"/>
        </w:rPr>
        <w:t>) al Sinelui reprezintă totalitatea experienţei obiectelor grosiere pe care o are Sinele. Corpul grosier nu se reduce la trupul carnal (deşi uneori filosofii vedāntini au tendinţa de a efectua această reducţie), ci constituie întreaga experienţă grosieră a Sinelui, atât experienţa trupului cât şi cea a tuturor celorlalte obiecte grosiere percepute. Obiectele fizice, grosiere şi trupul carnal ţin de acelaşi nivel ontologic, ambele fiind descoperite prin percepţie, ambele fiind compuse din elementele sensibile quintuplicate”</w:t>
      </w:r>
      <w:r w:rsidRPr="00D25ACA">
        <w:rPr>
          <w:rStyle w:val="FootnoteReference"/>
          <w:spacing w:val="-2"/>
          <w:sz w:val="24"/>
          <w:szCs w:val="24"/>
        </w:rPr>
        <w:footnoteReference w:id="7"/>
      </w:r>
      <w:r w:rsidRPr="00D25ACA">
        <w:rPr>
          <w:spacing w:val="-2"/>
          <w:sz w:val="24"/>
          <w:szCs w:val="24"/>
        </w:rPr>
        <w:t xml:space="preserve">. </w:t>
      </w:r>
    </w:p>
    <w:p w:rsidR="00887C51" w:rsidRPr="00D25ACA" w:rsidRDefault="00887C51" w:rsidP="00887C51">
      <w:pPr>
        <w:autoSpaceDE w:val="0"/>
        <w:autoSpaceDN w:val="0"/>
        <w:adjustRightInd w:val="0"/>
        <w:spacing w:after="0" w:line="240" w:lineRule="auto"/>
        <w:ind w:left="-180" w:right="-563" w:firstLine="810"/>
        <w:jc w:val="both"/>
        <w:rPr>
          <w:rFonts w:ascii="Times New Roman" w:hAnsi="Times New Roman"/>
          <w:color w:val="0070C0"/>
          <w:sz w:val="24"/>
          <w:szCs w:val="24"/>
        </w:rPr>
      </w:pPr>
      <w:r w:rsidRPr="00D25ACA">
        <w:rPr>
          <w:rFonts w:ascii="Times New Roman" w:hAnsi="Times New Roman"/>
          <w:sz w:val="24"/>
          <w:szCs w:val="24"/>
        </w:rPr>
        <w:t xml:space="preserve"> Sergey Horujy în mod just afirmă că modernitatea a dezvoltat multe „curente, strategii și tehnici cu privire la constituția noastră somatică. Principalele fenomene care caracterizează atitudinile moderne față de trupul omenesc includ experimente genetice, care pot schimba biologia omului dincolo de recunoaștere, revoluția sexuală</w:t>
      </w:r>
      <w:r w:rsidRPr="00D25ACA">
        <w:rPr>
          <w:rStyle w:val="FootnoteReference"/>
          <w:rFonts w:ascii="Times New Roman" w:hAnsi="Times New Roman"/>
          <w:sz w:val="24"/>
          <w:szCs w:val="24"/>
        </w:rPr>
        <w:footnoteReference w:id="8"/>
      </w:r>
      <w:r w:rsidRPr="00D25ACA">
        <w:rPr>
          <w:rFonts w:ascii="Times New Roman" w:hAnsi="Times New Roman"/>
          <w:sz w:val="24"/>
          <w:szCs w:val="24"/>
        </w:rPr>
        <w:t>, care schimbă principalele modele de reproducție biologică, tehnologii medicale cum ar fi transplantul de organe și euthanasia (și discuții aprinse ale problemelor biologice conexe), experimente crude cu trupul în arta avangardista, subculturi psihedelice, popularitatea practicilor extreme legate de trup și încălcarea legilor morale, terorismul sinucigaș, ș.a. (…). Toate pot fi considerate ca practici care conduc persoana umană și trupul înspre limitele posibilităților lor, înspre hotarele orizontului conștiinței și experienței umane”</w:t>
      </w:r>
      <w:r w:rsidRPr="00D25ACA">
        <w:rPr>
          <w:rStyle w:val="FootnoteReference"/>
          <w:rFonts w:ascii="Times New Roman" w:hAnsi="Times New Roman"/>
          <w:color w:val="0070C0"/>
          <w:sz w:val="24"/>
          <w:szCs w:val="24"/>
        </w:rPr>
        <w:footnoteReference w:id="9"/>
      </w:r>
      <w:r w:rsidRPr="00D25ACA">
        <w:rPr>
          <w:rFonts w:ascii="Times New Roman" w:hAnsi="Times New Roman"/>
          <w:color w:val="0070C0"/>
          <w:sz w:val="24"/>
          <w:szCs w:val="24"/>
        </w:rPr>
        <w:t>.</w:t>
      </w:r>
    </w:p>
    <w:p w:rsidR="00887C51" w:rsidRPr="00D25ACA" w:rsidRDefault="00887C51" w:rsidP="00887C51">
      <w:pPr>
        <w:autoSpaceDE w:val="0"/>
        <w:autoSpaceDN w:val="0"/>
        <w:adjustRightInd w:val="0"/>
        <w:spacing w:after="0" w:line="240" w:lineRule="auto"/>
        <w:ind w:left="-180" w:right="-563" w:firstLine="810"/>
        <w:jc w:val="both"/>
        <w:rPr>
          <w:rFonts w:ascii="Times New Roman" w:hAnsi="Times New Roman"/>
          <w:b/>
          <w:bCs/>
          <w:sz w:val="24"/>
          <w:szCs w:val="24"/>
        </w:rPr>
      </w:pPr>
      <w:r w:rsidRPr="00D25ACA">
        <w:rPr>
          <w:rFonts w:ascii="Times New Roman" w:hAnsi="Times New Roman"/>
          <w:sz w:val="24"/>
          <w:szCs w:val="24"/>
        </w:rPr>
        <w:t>Totodat</w:t>
      </w:r>
      <w:r w:rsidRPr="00D25ACA">
        <w:rPr>
          <w:rFonts w:ascii="Times New Roman" w:hAnsi="Times New Roman"/>
          <w:sz w:val="24"/>
          <w:szCs w:val="24"/>
          <w:lang w:val="ro-RO"/>
        </w:rPr>
        <w:t>ă, a</w:t>
      </w:r>
      <w:r w:rsidRPr="00D25ACA">
        <w:rPr>
          <w:rFonts w:ascii="Times New Roman" w:hAnsi="Times New Roman"/>
          <w:sz w:val="24"/>
          <w:szCs w:val="24"/>
        </w:rPr>
        <w:t xml:space="preserve">r trebui să subliniem, împreună cu profesorul </w:t>
      </w:r>
      <w:r w:rsidRPr="00D25ACA">
        <w:rPr>
          <w:rFonts w:ascii="Times New Roman" w:hAnsi="Times New Roman"/>
          <w:bCs/>
          <w:sz w:val="24"/>
          <w:szCs w:val="24"/>
        </w:rPr>
        <w:t xml:space="preserve">John Webster, faptul că teologia creștină este responsabilă de Vestea Bună anunțată în Sfânta Scriptură, de aceea trebuie formulată o antropologie teologică autentică, în contextual „ostilității postmoderne față de interpretările teleologice ale istoriei și față de disoluția postmodernă a sinelui. Este nevoie de o eshatologie care să fie </w:t>
      </w:r>
      <w:r w:rsidRPr="00D25ACA">
        <w:rPr>
          <w:rFonts w:ascii="Times New Roman" w:hAnsi="Times New Roman"/>
          <w:bCs/>
          <w:sz w:val="24"/>
          <w:szCs w:val="24"/>
        </w:rPr>
        <w:lastRenderedPageBreak/>
        <w:t>hristocentrică, plină de speranță și evlavie, și o antropologie pătrunsă de o astfel de eshatologie (…). Antropologia creștină teologică este descrierea dogmatică a identității umane așa cum este modelată de lucrarea creatoare, regeneratoare și plină de slavă a lui Dumnezeu Unul în Treime”</w:t>
      </w:r>
      <w:r w:rsidRPr="00D25ACA">
        <w:rPr>
          <w:rStyle w:val="FootnoteReference"/>
          <w:rFonts w:ascii="Times New Roman" w:hAnsi="Times New Roman"/>
          <w:bCs/>
          <w:sz w:val="24"/>
          <w:szCs w:val="24"/>
        </w:rPr>
        <w:footnoteReference w:id="10"/>
      </w:r>
      <w:r w:rsidRPr="00D25ACA">
        <w:rPr>
          <w:rFonts w:ascii="Times New Roman" w:hAnsi="Times New Roman"/>
          <w:bCs/>
          <w:sz w:val="24"/>
          <w:szCs w:val="24"/>
        </w:rPr>
        <w:t>.</w:t>
      </w:r>
      <w:r w:rsidRPr="00D25ACA">
        <w:rPr>
          <w:rStyle w:val="FootnoteReference"/>
          <w:rFonts w:ascii="Times New Roman" w:hAnsi="Times New Roman"/>
          <w:bCs/>
          <w:sz w:val="24"/>
          <w:szCs w:val="24"/>
        </w:rPr>
        <w:t xml:space="preserve"> </w:t>
      </w:r>
      <w:r w:rsidRPr="00D25ACA">
        <w:rPr>
          <w:rFonts w:ascii="Times New Roman" w:hAnsi="Times New Roman"/>
          <w:b/>
          <w:bCs/>
          <w:sz w:val="24"/>
          <w:szCs w:val="24"/>
        </w:rPr>
        <w:t xml:space="preserve"> </w:t>
      </w:r>
    </w:p>
    <w:p w:rsidR="00887C51" w:rsidRPr="00D25ACA" w:rsidRDefault="00887C51" w:rsidP="00887C51">
      <w:pPr>
        <w:autoSpaceDE w:val="0"/>
        <w:autoSpaceDN w:val="0"/>
        <w:adjustRightInd w:val="0"/>
        <w:spacing w:after="0" w:line="240" w:lineRule="auto"/>
        <w:ind w:left="-180" w:right="-563" w:firstLine="810"/>
        <w:jc w:val="both"/>
        <w:rPr>
          <w:rFonts w:ascii="Times New Roman" w:hAnsi="Times New Roman"/>
          <w:color w:val="0070C0"/>
          <w:sz w:val="24"/>
          <w:szCs w:val="24"/>
        </w:rPr>
      </w:pPr>
      <w:r w:rsidRPr="00D25ACA">
        <w:rPr>
          <w:rFonts w:ascii="Times New Roman" w:hAnsi="Times New Roman"/>
          <w:bCs/>
          <w:i/>
          <w:sz w:val="24"/>
          <w:szCs w:val="24"/>
        </w:rPr>
        <w:t xml:space="preserve"> </w:t>
      </w:r>
      <w:r w:rsidRPr="00D25ACA">
        <w:rPr>
          <w:rFonts w:ascii="Times New Roman" w:hAnsi="Times New Roman"/>
          <w:bCs/>
          <w:sz w:val="24"/>
          <w:szCs w:val="24"/>
        </w:rPr>
        <w:t>Este un mare contrast între valoarea trupului omenesc</w:t>
      </w:r>
      <w:r w:rsidRPr="00D25ACA">
        <w:rPr>
          <w:rStyle w:val="FootnoteReference"/>
          <w:rFonts w:ascii="Times New Roman" w:hAnsi="Times New Roman"/>
          <w:bCs/>
          <w:sz w:val="24"/>
          <w:szCs w:val="24"/>
        </w:rPr>
        <w:t xml:space="preserve"> </w:t>
      </w:r>
      <w:r w:rsidRPr="00D25ACA">
        <w:rPr>
          <w:rFonts w:ascii="Times New Roman" w:hAnsi="Times New Roman"/>
          <w:bCs/>
          <w:sz w:val="24"/>
          <w:szCs w:val="24"/>
        </w:rPr>
        <w:t xml:space="preserve"> ca parte integrantă a făpturii umane şi </w:t>
      </w:r>
      <w:r w:rsidRPr="00D25ACA">
        <w:rPr>
          <w:rFonts w:ascii="Times New Roman" w:hAnsi="Times New Roman"/>
          <w:sz w:val="24"/>
          <w:szCs w:val="24"/>
        </w:rPr>
        <w:t xml:space="preserve"> valoarea componentelor sale.</w:t>
      </w:r>
      <w:r w:rsidRPr="00D25ACA">
        <w:rPr>
          <w:rFonts w:ascii="Times New Roman" w:hAnsi="Times New Roman"/>
          <w:color w:val="0070C0"/>
          <w:sz w:val="24"/>
          <w:szCs w:val="24"/>
        </w:rPr>
        <w:t xml:space="preserve">  </w:t>
      </w:r>
      <w:r w:rsidRPr="00D25ACA">
        <w:rPr>
          <w:rFonts w:ascii="Times New Roman" w:hAnsi="Times New Roman"/>
          <w:sz w:val="24"/>
          <w:szCs w:val="24"/>
        </w:rPr>
        <w:t xml:space="preserve">De pe un </w:t>
      </w:r>
      <w:r w:rsidRPr="00D25ACA">
        <w:rPr>
          <w:rFonts w:ascii="Times New Roman" w:hAnsi="Times New Roman"/>
          <w:i/>
          <w:sz w:val="24"/>
          <w:szCs w:val="24"/>
        </w:rPr>
        <w:t>site</w:t>
      </w:r>
      <w:r w:rsidRPr="00D25ACA">
        <w:rPr>
          <w:rFonts w:ascii="Times New Roman" w:hAnsi="Times New Roman"/>
          <w:sz w:val="24"/>
          <w:szCs w:val="24"/>
        </w:rPr>
        <w:t xml:space="preserve"> de chimie se poate afla componența trupului omenesc, și mai ales faptul că în sine, elementele constitutive ar valora doar câțiva dolari!:</w:t>
      </w:r>
      <w:r w:rsidRPr="00D25ACA">
        <w:rPr>
          <w:rFonts w:ascii="Times New Roman" w:hAnsi="Times New Roman"/>
          <w:color w:val="0070C0"/>
          <w:sz w:val="24"/>
          <w:szCs w:val="24"/>
        </w:rPr>
        <w:t xml:space="preserve"> </w:t>
      </w:r>
    </w:p>
    <w:p w:rsidR="00887C51" w:rsidRPr="00D25ACA" w:rsidRDefault="00887C51" w:rsidP="00887C51">
      <w:pPr>
        <w:autoSpaceDE w:val="0"/>
        <w:autoSpaceDN w:val="0"/>
        <w:adjustRightInd w:val="0"/>
        <w:spacing w:after="0" w:line="240" w:lineRule="auto"/>
        <w:ind w:left="-180" w:right="-563" w:firstLine="810"/>
        <w:jc w:val="both"/>
        <w:rPr>
          <w:rFonts w:ascii="Times New Roman" w:hAnsi="Times New Roman"/>
          <w:bCs/>
          <w:sz w:val="24"/>
          <w:szCs w:val="24"/>
        </w:rPr>
      </w:pPr>
      <w:r w:rsidRPr="00D25ACA">
        <w:rPr>
          <w:rFonts w:ascii="Times New Roman" w:hAnsi="Times New Roman"/>
          <w:sz w:val="24"/>
          <w:szCs w:val="24"/>
        </w:rPr>
        <w:t>“The human body contains approximately: 65% Oxygen, 18% Carbon, 10% Hydrogen, 3% Nitrogen,1.5% Calcium, 1% Phosphorous, 0.35% Potassium, 0.25% Sulfur, 0.15% Sodium, 0.15% Chlorine, 0.05% Magnesium, 0.0004% Iron, 0.00004% Iodine. The body contains also trace amounts of other elements, such as silicon, manganese, fluorine, copper, zinc, arsenic and aluminum. The going rate for a body's worth of these elements is about one US dollar!!!  The skin would be worth about $3.50 if it were sold at the price of a cowhide, which runs around $0.25 per square foot. A dollar's worth of elements plus the value of the skin would round up to $5”</w:t>
      </w:r>
      <w:r w:rsidRPr="00D25ACA">
        <w:rPr>
          <w:rStyle w:val="FootnoteReference"/>
          <w:rFonts w:ascii="Times New Roman" w:hAnsi="Times New Roman"/>
          <w:sz w:val="24"/>
          <w:szCs w:val="24"/>
        </w:rPr>
        <w:footnoteReference w:id="11"/>
      </w:r>
      <w:r w:rsidRPr="00D25ACA">
        <w:rPr>
          <w:rFonts w:ascii="Times New Roman" w:hAnsi="Times New Roman"/>
          <w:sz w:val="24"/>
          <w:szCs w:val="24"/>
        </w:rPr>
        <w:t>.</w:t>
      </w:r>
    </w:p>
    <w:p w:rsidR="00887C51" w:rsidRPr="00D25ACA" w:rsidRDefault="00887C51" w:rsidP="00887C51">
      <w:pPr>
        <w:autoSpaceDE w:val="0"/>
        <w:autoSpaceDN w:val="0"/>
        <w:adjustRightInd w:val="0"/>
        <w:spacing w:after="0" w:line="240" w:lineRule="auto"/>
        <w:ind w:left="-180" w:right="-563"/>
        <w:jc w:val="both"/>
        <w:rPr>
          <w:rFonts w:ascii="Times New Roman" w:hAnsi="Times New Roman"/>
          <w:b/>
          <w:bCs/>
          <w:sz w:val="24"/>
          <w:szCs w:val="24"/>
        </w:rPr>
      </w:pPr>
    </w:p>
    <w:p w:rsidR="00887C51" w:rsidRPr="00D25ACA" w:rsidRDefault="00887C51" w:rsidP="00887C51">
      <w:pPr>
        <w:pStyle w:val="BodyText"/>
        <w:ind w:left="-180" w:right="-563" w:firstLine="720"/>
        <w:rPr>
          <w:b/>
          <w:bCs/>
          <w:i/>
          <w:sz w:val="24"/>
          <w:szCs w:val="24"/>
        </w:rPr>
      </w:pPr>
      <w:r w:rsidRPr="00D25ACA">
        <w:rPr>
          <w:sz w:val="24"/>
          <w:szCs w:val="24"/>
        </w:rPr>
        <w:t xml:space="preserve">   </w:t>
      </w:r>
    </w:p>
    <w:p w:rsidR="00887C51" w:rsidRPr="00D25ACA" w:rsidRDefault="00887C51" w:rsidP="00887C51">
      <w:pPr>
        <w:autoSpaceDE w:val="0"/>
        <w:autoSpaceDN w:val="0"/>
        <w:adjustRightInd w:val="0"/>
        <w:spacing w:after="0" w:line="240" w:lineRule="auto"/>
        <w:ind w:left="-180" w:right="-563"/>
        <w:jc w:val="both"/>
        <w:rPr>
          <w:rFonts w:ascii="Times New Roman" w:hAnsi="Times New Roman"/>
          <w:b/>
          <w:bCs/>
          <w:i/>
          <w:sz w:val="24"/>
          <w:szCs w:val="24"/>
        </w:rPr>
      </w:pPr>
      <w:r w:rsidRPr="00D25ACA">
        <w:rPr>
          <w:rFonts w:ascii="Times New Roman" w:hAnsi="Times New Roman"/>
          <w:b/>
          <w:bCs/>
          <w:i/>
          <w:sz w:val="24"/>
          <w:szCs w:val="24"/>
        </w:rPr>
        <w:t xml:space="preserve"> 2.Precizări terminologice</w:t>
      </w:r>
    </w:p>
    <w:p w:rsidR="00887C51" w:rsidRPr="00D25ACA" w:rsidRDefault="00887C51" w:rsidP="00887C51">
      <w:pPr>
        <w:pStyle w:val="BodyText"/>
        <w:ind w:left="-180" w:right="-563" w:firstLine="0"/>
        <w:rPr>
          <w:b/>
          <w:bCs/>
          <w:sz w:val="24"/>
          <w:szCs w:val="24"/>
        </w:rPr>
      </w:pPr>
      <w:r w:rsidRPr="00D25ACA">
        <w:rPr>
          <w:b/>
          <w:bCs/>
          <w:i/>
          <w:sz w:val="24"/>
          <w:szCs w:val="24"/>
        </w:rPr>
        <w:t xml:space="preserve">               </w:t>
      </w:r>
      <w:r w:rsidRPr="00D25ACA">
        <w:rPr>
          <w:b/>
          <w:bCs/>
          <w:sz w:val="24"/>
          <w:szCs w:val="24"/>
        </w:rPr>
        <w:t xml:space="preserve">             </w:t>
      </w:r>
    </w:p>
    <w:p w:rsidR="00887C51" w:rsidRPr="00D25ACA" w:rsidRDefault="00887C51" w:rsidP="00887C51">
      <w:pPr>
        <w:pStyle w:val="BodyText"/>
        <w:ind w:left="-180" w:right="-563" w:firstLine="720"/>
        <w:rPr>
          <w:sz w:val="24"/>
          <w:szCs w:val="24"/>
        </w:rPr>
      </w:pPr>
      <w:r w:rsidRPr="00D25ACA">
        <w:rPr>
          <w:sz w:val="24"/>
          <w:szCs w:val="24"/>
        </w:rPr>
        <w:t xml:space="preserve"> Problema trupului – ca şi cea a sufletului – a preocupat din cele mai vechi timpuri cugetarea omenească, fapt ce a declanşat o serie întreagă de dezbateri virulente, chiar rupturi în cadrul unor şcoli de gândire filosofică ori teologică, în ceea ce priveşte rolul acestuia sub raport soteriologic.Cuvântul „corp” provine, în limba română, din latinescul </w:t>
      </w:r>
      <w:r w:rsidRPr="00D25ACA">
        <w:rPr>
          <w:i/>
          <w:iCs/>
          <w:sz w:val="24"/>
          <w:szCs w:val="24"/>
        </w:rPr>
        <w:t>corpus</w:t>
      </w:r>
      <w:r w:rsidRPr="00D25ACA">
        <w:rPr>
          <w:sz w:val="24"/>
          <w:szCs w:val="24"/>
        </w:rPr>
        <w:t xml:space="preserve">, după cum se poate observa şi în cazul celorlalte limbi latine, în timp ce termenul „trup” este o dublare pe linie slavonă atât de necesară limbii în a exprima înţelesurile ultime de natură teologală. De pildă, în limba franceză găsim </w:t>
      </w:r>
      <w:r w:rsidRPr="00D25ACA">
        <w:rPr>
          <w:i/>
          <w:iCs/>
          <w:sz w:val="24"/>
          <w:szCs w:val="24"/>
        </w:rPr>
        <w:t>corps</w:t>
      </w:r>
      <w:r w:rsidRPr="00D25ACA">
        <w:rPr>
          <w:sz w:val="24"/>
          <w:szCs w:val="24"/>
        </w:rPr>
        <w:t xml:space="preserve">, în spaniolă </w:t>
      </w:r>
      <w:r w:rsidRPr="00D25ACA">
        <w:rPr>
          <w:i/>
          <w:iCs/>
          <w:sz w:val="24"/>
          <w:szCs w:val="24"/>
        </w:rPr>
        <w:t xml:space="preserve">cuerpo, </w:t>
      </w:r>
      <w:r w:rsidRPr="00D25ACA">
        <w:rPr>
          <w:sz w:val="24"/>
          <w:szCs w:val="24"/>
        </w:rPr>
        <w:t xml:space="preserve">în italiană </w:t>
      </w:r>
      <w:r w:rsidRPr="00D25ACA">
        <w:rPr>
          <w:i/>
          <w:iCs/>
          <w:sz w:val="24"/>
          <w:szCs w:val="24"/>
        </w:rPr>
        <w:t>corpo</w:t>
      </w:r>
      <w:r w:rsidRPr="00D25ACA">
        <w:rPr>
          <w:sz w:val="24"/>
          <w:szCs w:val="24"/>
        </w:rPr>
        <w:t xml:space="preserve">, iar în engleză </w:t>
      </w:r>
      <w:r w:rsidRPr="00D25ACA">
        <w:rPr>
          <w:i/>
          <w:iCs/>
          <w:sz w:val="24"/>
          <w:szCs w:val="24"/>
        </w:rPr>
        <w:t>body</w:t>
      </w:r>
      <w:r w:rsidRPr="00D25ACA">
        <w:rPr>
          <w:sz w:val="24"/>
          <w:szCs w:val="24"/>
        </w:rPr>
        <w:t xml:space="preserve"> alături de latinescul </w:t>
      </w:r>
      <w:r w:rsidRPr="00D25ACA">
        <w:rPr>
          <w:i/>
          <w:iCs/>
          <w:sz w:val="24"/>
          <w:szCs w:val="24"/>
        </w:rPr>
        <w:t>corps/corpus</w:t>
      </w:r>
      <w:r w:rsidRPr="00D25ACA">
        <w:rPr>
          <w:sz w:val="24"/>
          <w:szCs w:val="24"/>
        </w:rPr>
        <w:t>. În toate aceste limbi cuvântul „corp” trimite către sensurile dimensiunii catafatice şi exterioare a realităţii somaticului, fără a solicita exigenţe de ordin metafizic, însă cu termenul „trup”</w:t>
      </w:r>
      <w:r w:rsidRPr="00D25ACA">
        <w:rPr>
          <w:rStyle w:val="FootnoteReference"/>
          <w:sz w:val="24"/>
          <w:szCs w:val="24"/>
        </w:rPr>
        <w:footnoteReference w:id="12"/>
      </w:r>
      <w:r w:rsidRPr="00D25ACA">
        <w:rPr>
          <w:sz w:val="24"/>
          <w:szCs w:val="24"/>
        </w:rPr>
        <w:t xml:space="preserve"> plonjăm în sfera apofaticului în care întrezărim potenţialităţi teologice specifice. Acest aspect poate fi observat în limbile care folosesc un singur termen pentru desemnarea latinescului </w:t>
      </w:r>
      <w:r w:rsidRPr="00D25ACA">
        <w:rPr>
          <w:i/>
          <w:iCs/>
          <w:sz w:val="24"/>
          <w:szCs w:val="24"/>
        </w:rPr>
        <w:t xml:space="preserve">corpus, </w:t>
      </w:r>
      <w:r w:rsidRPr="00D25ACA">
        <w:rPr>
          <w:iCs/>
          <w:sz w:val="24"/>
          <w:szCs w:val="24"/>
        </w:rPr>
        <w:t>și care</w:t>
      </w:r>
      <w:r w:rsidRPr="00D25ACA">
        <w:rPr>
          <w:sz w:val="24"/>
          <w:szCs w:val="24"/>
        </w:rPr>
        <w:t xml:space="preserve"> trebuie cu necesitate să conţină toate semnificaţiile ontologice de rigoare. Spunem doar că limba română a dat această nuanţă de ordin metafizic, nuanţă care uşurează extrem de mult exegeza atunci când ne referim la </w:t>
      </w:r>
      <w:r w:rsidRPr="00D25ACA">
        <w:rPr>
          <w:i/>
          <w:iCs/>
          <w:sz w:val="24"/>
          <w:szCs w:val="24"/>
        </w:rPr>
        <w:t>în</w:t>
      </w:r>
      <w:r w:rsidRPr="00D25ACA">
        <w:rPr>
          <w:sz w:val="24"/>
          <w:szCs w:val="24"/>
        </w:rPr>
        <w:t xml:space="preserve">trupare. </w:t>
      </w:r>
      <w:r w:rsidRPr="00D25ACA">
        <w:rPr>
          <w:color w:val="000000"/>
          <w:sz w:val="24"/>
          <w:szCs w:val="24"/>
          <w:shd w:val="clear" w:color="auto" w:fill="FFFFFF"/>
        </w:rPr>
        <w:t xml:space="preserve">Potrivit marelui filosof român Constantin  Noica, prefixul </w:t>
      </w:r>
      <w:r w:rsidRPr="00D25ACA">
        <w:rPr>
          <w:i/>
          <w:iCs/>
          <w:color w:val="000000"/>
          <w:sz w:val="24"/>
          <w:szCs w:val="24"/>
          <w:shd w:val="clear" w:color="auto" w:fill="FFFFFF"/>
        </w:rPr>
        <w:t>în</w:t>
      </w:r>
      <w:r w:rsidRPr="00D25ACA">
        <w:rPr>
          <w:color w:val="000000"/>
          <w:sz w:val="24"/>
          <w:szCs w:val="24"/>
          <w:shd w:val="clear" w:color="auto" w:fill="FFFFFF"/>
        </w:rPr>
        <w:t xml:space="preserve"> realizează o serie de ctitorii în limba română, dând consistenţă şi temei prin fixarea cuvintelor care încă nu şi-au declinat consistenţa cum ar fi: „înfiinţare”, „înfăptuire”, „înstructurare”, la care adăugăm </w:t>
      </w:r>
      <w:r w:rsidRPr="00D25ACA">
        <w:rPr>
          <w:i/>
          <w:iCs/>
          <w:color w:val="000000"/>
          <w:sz w:val="24"/>
          <w:szCs w:val="24"/>
          <w:shd w:val="clear" w:color="auto" w:fill="FFFFFF"/>
        </w:rPr>
        <w:t>întrupare</w:t>
      </w:r>
      <w:r w:rsidRPr="00D25ACA">
        <w:rPr>
          <w:color w:val="000000"/>
          <w:sz w:val="24"/>
          <w:szCs w:val="24"/>
          <w:shd w:val="clear" w:color="auto" w:fill="FFFFFF"/>
        </w:rPr>
        <w:t>. La Noica acest prefix „aduce gândului, cu uşurinţa sa de-a intra în compunere, mijlocul de a da socoteală, prin cuvinte potrivite, de întruchipările reale şi posibile din sânul lumii. Se împlântă în fluiditatea şi amorfismul lumii, făcând ctitorii”</w:t>
      </w:r>
      <w:r w:rsidRPr="00D25ACA">
        <w:rPr>
          <w:rStyle w:val="FootnoteReference"/>
          <w:sz w:val="24"/>
          <w:szCs w:val="24"/>
        </w:rPr>
        <w:footnoteReference w:id="13"/>
      </w:r>
      <w:r w:rsidRPr="00D25ACA">
        <w:rPr>
          <w:color w:val="000000"/>
          <w:sz w:val="24"/>
          <w:szCs w:val="24"/>
          <w:shd w:val="clear" w:color="auto" w:fill="FFFFFF"/>
        </w:rPr>
        <w:t xml:space="preserve">.  </w:t>
      </w:r>
    </w:p>
    <w:p w:rsidR="00887C51" w:rsidRPr="00D25ACA" w:rsidRDefault="00887C51" w:rsidP="00887C51">
      <w:pPr>
        <w:pStyle w:val="BodyText"/>
        <w:ind w:left="-180" w:right="-563" w:firstLine="720"/>
        <w:rPr>
          <w:sz w:val="24"/>
          <w:szCs w:val="24"/>
        </w:rPr>
      </w:pPr>
      <w:r w:rsidRPr="00D25ACA">
        <w:rPr>
          <w:sz w:val="24"/>
          <w:szCs w:val="24"/>
        </w:rPr>
        <w:t>La Platon trupul fiind muritor, nu participă la pura existenţă şi astfel se află într-o opoziţie ireconciliabilă cu sufletul nemuritor care aparţine de real prin excelenţă</w:t>
      </w:r>
      <w:r w:rsidRPr="00D25ACA">
        <w:rPr>
          <w:rStyle w:val="FootnoteReference"/>
          <w:sz w:val="24"/>
          <w:szCs w:val="24"/>
        </w:rPr>
        <w:footnoteReference w:id="14"/>
      </w:r>
      <w:r w:rsidRPr="00D25ACA">
        <w:rPr>
          <w:sz w:val="24"/>
          <w:szCs w:val="24"/>
        </w:rPr>
        <w:t xml:space="preserve">. Ioan Petru Culianu - în urma studiilor realizate de către Broxton Onians şi Anders Olerud - afirmă că ontologia şi antropologia platoniciană se înfăţişează în termenii unei dihotomii ireconciliabile, iar odată cu stoicii este atenuată. Prima, prezintă dimensiunea superioară a capului, în timp ce a doua, pe cea inferioară a emoţiilor </w:t>
      </w:r>
      <w:r w:rsidRPr="00D25ACA">
        <w:rPr>
          <w:sz w:val="24"/>
          <w:szCs w:val="24"/>
        </w:rPr>
        <w:lastRenderedPageBreak/>
        <w:t>zămislite de inimă:</w:t>
      </w:r>
    </w:p>
    <w:p w:rsidR="00887C51" w:rsidRPr="00D25ACA" w:rsidRDefault="00887C51" w:rsidP="00887C51">
      <w:pPr>
        <w:pStyle w:val="BodyText"/>
        <w:ind w:left="-180" w:right="-563" w:firstLine="720"/>
        <w:rPr>
          <w:color w:val="222222"/>
          <w:sz w:val="24"/>
          <w:szCs w:val="24"/>
          <w:shd w:val="clear" w:color="auto" w:fill="FFFFFF"/>
        </w:rPr>
      </w:pPr>
      <w:r w:rsidRPr="00D25ACA">
        <w:rPr>
          <w:sz w:val="24"/>
          <w:szCs w:val="24"/>
        </w:rPr>
        <w:t xml:space="preserve"> „Se pare că demnitatea conferită de Platon capului uman în </w:t>
      </w:r>
      <w:r w:rsidRPr="00D25ACA">
        <w:rPr>
          <w:i/>
          <w:iCs/>
          <w:sz w:val="24"/>
          <w:szCs w:val="24"/>
        </w:rPr>
        <w:t>Timaios</w:t>
      </w:r>
      <w:r w:rsidRPr="00D25ACA">
        <w:rPr>
          <w:sz w:val="24"/>
          <w:szCs w:val="24"/>
        </w:rPr>
        <w:t xml:space="preserve"> (44d, 90a) vine dintr-un complex arhaic ce deosebeşte două organe ale conştiinţei:</w:t>
      </w:r>
      <w:r w:rsidRPr="00D25ACA">
        <w:rPr>
          <w:color w:val="222222"/>
          <w:sz w:val="24"/>
          <w:szCs w:val="24"/>
          <w:shd w:val="clear" w:color="auto" w:fill="FFFFFF"/>
        </w:rPr>
        <w:t xml:space="preserve"> «inima» (</w:t>
      </w:r>
      <w:r w:rsidRPr="00D25ACA">
        <w:rPr>
          <w:i/>
          <w:color w:val="222222"/>
          <w:sz w:val="24"/>
          <w:szCs w:val="24"/>
          <w:shd w:val="clear" w:color="auto" w:fill="FFFFFF"/>
        </w:rPr>
        <w:t>kêr</w:t>
      </w:r>
      <w:r w:rsidRPr="00D25ACA">
        <w:rPr>
          <w:color w:val="222222"/>
          <w:sz w:val="24"/>
          <w:szCs w:val="24"/>
          <w:shd w:val="clear" w:color="auto" w:fill="FFFFFF"/>
        </w:rPr>
        <w:t xml:space="preserve"> sau </w:t>
      </w:r>
      <w:r w:rsidRPr="00D25ACA">
        <w:rPr>
          <w:i/>
          <w:color w:val="222222"/>
          <w:sz w:val="24"/>
          <w:szCs w:val="24"/>
          <w:shd w:val="clear" w:color="auto" w:fill="FFFFFF"/>
        </w:rPr>
        <w:t>kradíê</w:t>
      </w:r>
      <w:r w:rsidRPr="00D25ACA">
        <w:rPr>
          <w:color w:val="222222"/>
          <w:sz w:val="24"/>
          <w:szCs w:val="24"/>
          <w:shd w:val="clear" w:color="auto" w:fill="FFFFFF"/>
        </w:rPr>
        <w:t>), sediul unui suflet vegetativ (</w:t>
      </w:r>
      <w:r w:rsidRPr="00D25ACA">
        <w:rPr>
          <w:i/>
          <w:iCs/>
          <w:color w:val="222222"/>
          <w:sz w:val="24"/>
          <w:szCs w:val="24"/>
          <w:shd w:val="clear" w:color="auto" w:fill="FFFFFF"/>
        </w:rPr>
        <w:t>thymós</w:t>
      </w:r>
      <w:r w:rsidRPr="00D25ACA">
        <w:rPr>
          <w:color w:val="222222"/>
          <w:sz w:val="24"/>
          <w:szCs w:val="24"/>
          <w:shd w:val="clear" w:color="auto" w:fill="FFFFFF"/>
        </w:rPr>
        <w:t>),</w:t>
      </w:r>
      <w:r w:rsidRPr="00D25ACA">
        <w:rPr>
          <w:sz w:val="24"/>
          <w:szCs w:val="24"/>
        </w:rPr>
        <w:t xml:space="preserve"> şi </w:t>
      </w:r>
      <w:r w:rsidRPr="00D25ACA">
        <w:rPr>
          <w:color w:val="222222"/>
          <w:sz w:val="24"/>
          <w:szCs w:val="24"/>
          <w:shd w:val="clear" w:color="auto" w:fill="FFFFFF"/>
        </w:rPr>
        <w:t xml:space="preserve">«capul», sediu al </w:t>
      </w:r>
      <w:r w:rsidRPr="00D25ACA">
        <w:rPr>
          <w:i/>
          <w:iCs/>
          <w:color w:val="222222"/>
          <w:sz w:val="24"/>
          <w:szCs w:val="24"/>
          <w:shd w:val="clear" w:color="auto" w:fill="FFFFFF"/>
        </w:rPr>
        <w:t>psyché</w:t>
      </w:r>
      <w:r w:rsidRPr="00D25ACA">
        <w:rPr>
          <w:color w:val="222222"/>
          <w:sz w:val="24"/>
          <w:szCs w:val="24"/>
          <w:shd w:val="clear" w:color="auto" w:fill="FFFFFF"/>
        </w:rPr>
        <w:t xml:space="preserve">-ei. […] </w:t>
      </w:r>
      <w:r w:rsidRPr="00D25ACA">
        <w:rPr>
          <w:i/>
          <w:iCs/>
          <w:color w:val="222222"/>
          <w:sz w:val="24"/>
          <w:szCs w:val="24"/>
          <w:shd w:val="clear" w:color="auto" w:fill="FFFFFF"/>
        </w:rPr>
        <w:t>thymós</w:t>
      </w:r>
      <w:r w:rsidRPr="00D25ACA">
        <w:rPr>
          <w:color w:val="222222"/>
          <w:sz w:val="24"/>
          <w:szCs w:val="24"/>
          <w:shd w:val="clear" w:color="auto" w:fill="FFFFFF"/>
        </w:rPr>
        <w:t xml:space="preserve"> ar fi «</w:t>
      </w:r>
      <w:r w:rsidRPr="00D25ACA">
        <w:rPr>
          <w:i/>
          <w:color w:val="222222"/>
          <w:sz w:val="24"/>
          <w:szCs w:val="24"/>
          <w:shd w:val="clear" w:color="auto" w:fill="FFFFFF"/>
        </w:rPr>
        <w:t>blood-soul</w:t>
      </w:r>
      <w:r w:rsidRPr="00D25ACA">
        <w:rPr>
          <w:color w:val="222222"/>
          <w:sz w:val="24"/>
          <w:szCs w:val="24"/>
          <w:shd w:val="clear" w:color="auto" w:fill="FFFFFF"/>
        </w:rPr>
        <w:t xml:space="preserve">», iar </w:t>
      </w:r>
      <w:r w:rsidRPr="00D25ACA">
        <w:rPr>
          <w:i/>
          <w:iCs/>
          <w:color w:val="222222"/>
          <w:sz w:val="24"/>
          <w:szCs w:val="24"/>
          <w:shd w:val="clear" w:color="auto" w:fill="FFFFFF"/>
        </w:rPr>
        <w:t>psyché</w:t>
      </w:r>
      <w:r w:rsidRPr="00D25ACA">
        <w:rPr>
          <w:color w:val="222222"/>
          <w:sz w:val="24"/>
          <w:szCs w:val="24"/>
          <w:shd w:val="clear" w:color="auto" w:fill="FFFFFF"/>
        </w:rPr>
        <w:t xml:space="preserve"> «</w:t>
      </w:r>
      <w:r w:rsidRPr="00D25ACA">
        <w:rPr>
          <w:i/>
          <w:color w:val="222222"/>
          <w:sz w:val="24"/>
          <w:szCs w:val="24"/>
          <w:shd w:val="clear" w:color="auto" w:fill="FFFFFF"/>
        </w:rPr>
        <w:t>breath-soul</w:t>
      </w:r>
      <w:r w:rsidRPr="00D25ACA">
        <w:rPr>
          <w:color w:val="222222"/>
          <w:sz w:val="24"/>
          <w:szCs w:val="24"/>
          <w:shd w:val="clear" w:color="auto" w:fill="FFFFFF"/>
        </w:rPr>
        <w:t xml:space="preserve">», dar diferenţa originară dintre cele două noţiuni nu era, se vede, atât de considerabilă, de vreme ce cuvântul </w:t>
      </w:r>
      <w:r w:rsidRPr="00D25ACA">
        <w:rPr>
          <w:i/>
          <w:iCs/>
          <w:color w:val="222222"/>
          <w:sz w:val="24"/>
          <w:szCs w:val="24"/>
          <w:shd w:val="clear" w:color="auto" w:fill="FFFFFF"/>
        </w:rPr>
        <w:t>thymós</w:t>
      </w:r>
      <w:r w:rsidRPr="00D25ACA">
        <w:rPr>
          <w:color w:val="222222"/>
          <w:sz w:val="24"/>
          <w:szCs w:val="24"/>
          <w:shd w:val="clear" w:color="auto" w:fill="FFFFFF"/>
        </w:rPr>
        <w:t xml:space="preserve"> însuşi este înrudit cu vocabulele indo-europene indicând aburul sau suflul (latinescul </w:t>
      </w:r>
      <w:r w:rsidRPr="00D25ACA">
        <w:rPr>
          <w:i/>
          <w:iCs/>
          <w:color w:val="222222"/>
          <w:sz w:val="24"/>
          <w:szCs w:val="24"/>
          <w:shd w:val="clear" w:color="auto" w:fill="FFFFFF"/>
        </w:rPr>
        <w:t>fumus</w:t>
      </w:r>
      <w:r w:rsidRPr="00D25ACA">
        <w:rPr>
          <w:color w:val="222222"/>
          <w:sz w:val="24"/>
          <w:szCs w:val="24"/>
          <w:shd w:val="clear" w:color="auto" w:fill="FFFFFF"/>
        </w:rPr>
        <w:t xml:space="preserve">, sanscritul </w:t>
      </w:r>
      <w:r w:rsidRPr="00D25ACA">
        <w:rPr>
          <w:i/>
          <w:iCs/>
          <w:color w:val="222222"/>
          <w:sz w:val="24"/>
          <w:szCs w:val="24"/>
          <w:shd w:val="clear" w:color="auto" w:fill="FFFFFF"/>
        </w:rPr>
        <w:t>dhumah</w:t>
      </w:r>
      <w:r w:rsidRPr="00D25ACA">
        <w:rPr>
          <w:color w:val="222222"/>
          <w:sz w:val="24"/>
          <w:szCs w:val="24"/>
          <w:shd w:val="clear" w:color="auto" w:fill="FFFFFF"/>
        </w:rPr>
        <w:t xml:space="preserve">, slavele </w:t>
      </w:r>
      <w:r w:rsidRPr="00D25ACA">
        <w:rPr>
          <w:i/>
          <w:iCs/>
          <w:color w:val="222222"/>
          <w:sz w:val="24"/>
          <w:szCs w:val="24"/>
          <w:shd w:val="clear" w:color="auto" w:fill="FFFFFF"/>
        </w:rPr>
        <w:t>dymu</w:t>
      </w:r>
      <w:r w:rsidRPr="00D25ACA">
        <w:rPr>
          <w:color w:val="222222"/>
          <w:sz w:val="24"/>
          <w:szCs w:val="24"/>
          <w:shd w:val="clear" w:color="auto" w:fill="FFFFFF"/>
        </w:rPr>
        <w:t xml:space="preserve"> şi </w:t>
      </w:r>
      <w:r w:rsidRPr="00D25ACA">
        <w:rPr>
          <w:i/>
          <w:iCs/>
          <w:color w:val="222222"/>
          <w:sz w:val="24"/>
          <w:szCs w:val="24"/>
          <w:shd w:val="clear" w:color="auto" w:fill="FFFFFF"/>
        </w:rPr>
        <w:t>duchu</w:t>
      </w:r>
      <w:r w:rsidRPr="00D25ACA">
        <w:rPr>
          <w:color w:val="222222"/>
          <w:sz w:val="24"/>
          <w:szCs w:val="24"/>
          <w:shd w:val="clear" w:color="auto" w:fill="FFFFFF"/>
        </w:rPr>
        <w:t xml:space="preserve">). Cât despre </w:t>
      </w:r>
      <w:r w:rsidRPr="00D25ACA">
        <w:rPr>
          <w:i/>
          <w:iCs/>
          <w:color w:val="222222"/>
          <w:sz w:val="24"/>
          <w:szCs w:val="24"/>
          <w:shd w:val="clear" w:color="auto" w:fill="FFFFFF"/>
        </w:rPr>
        <w:t>psyché</w:t>
      </w:r>
      <w:r w:rsidRPr="00D25ACA">
        <w:rPr>
          <w:color w:val="222222"/>
          <w:sz w:val="24"/>
          <w:szCs w:val="24"/>
          <w:shd w:val="clear" w:color="auto" w:fill="FFFFFF"/>
        </w:rPr>
        <w:t xml:space="preserve">, precum latinescul </w:t>
      </w:r>
      <w:r w:rsidRPr="00D25ACA">
        <w:rPr>
          <w:i/>
          <w:iCs/>
          <w:color w:val="222222"/>
          <w:sz w:val="24"/>
          <w:szCs w:val="24"/>
          <w:shd w:val="clear" w:color="auto" w:fill="FFFFFF"/>
        </w:rPr>
        <w:t>animus</w:t>
      </w:r>
      <w:r w:rsidRPr="00D25ACA">
        <w:rPr>
          <w:color w:val="222222"/>
          <w:sz w:val="24"/>
          <w:szCs w:val="24"/>
          <w:shd w:val="clear" w:color="auto" w:fill="FFFFFF"/>
        </w:rPr>
        <w:t xml:space="preserve">, ea este un «suflu» prin excelenţă, de vreme ce derivă din verbul </w:t>
      </w:r>
      <w:r w:rsidRPr="00D25ACA">
        <w:rPr>
          <w:i/>
          <w:iCs/>
          <w:color w:val="222222"/>
          <w:sz w:val="24"/>
          <w:szCs w:val="24"/>
          <w:shd w:val="clear" w:color="auto" w:fill="FFFFFF"/>
        </w:rPr>
        <w:t>psychô</w:t>
      </w:r>
      <w:r w:rsidRPr="00D25ACA">
        <w:rPr>
          <w:color w:val="222222"/>
          <w:sz w:val="24"/>
          <w:szCs w:val="24"/>
          <w:shd w:val="clear" w:color="auto" w:fill="FFFFFF"/>
        </w:rPr>
        <w:t xml:space="preserve"> («a sufla»), însă exlusiva-i localizare în cap este discutabilă. Dimpotrivă, într-un întreg complex de credinţe,</w:t>
      </w:r>
      <w:r w:rsidRPr="00D25ACA">
        <w:rPr>
          <w:i/>
          <w:iCs/>
          <w:color w:val="222222"/>
          <w:sz w:val="24"/>
          <w:szCs w:val="24"/>
          <w:shd w:val="clear" w:color="auto" w:fill="FFFFFF"/>
        </w:rPr>
        <w:t xml:space="preserve"> psyché</w:t>
      </w:r>
      <w:r w:rsidRPr="00D25ACA">
        <w:rPr>
          <w:color w:val="222222"/>
          <w:sz w:val="24"/>
          <w:szCs w:val="24"/>
          <w:shd w:val="clear" w:color="auto" w:fill="FFFFFF"/>
        </w:rPr>
        <w:t xml:space="preserve"> reprezintă orice respiraţie corporală, fiind legată de </w:t>
      </w:r>
      <w:r w:rsidRPr="00D25ACA">
        <w:rPr>
          <w:i/>
          <w:iCs/>
          <w:color w:val="222222"/>
          <w:sz w:val="24"/>
          <w:szCs w:val="24"/>
          <w:shd w:val="clear" w:color="auto" w:fill="FFFFFF"/>
        </w:rPr>
        <w:t xml:space="preserve">spérma, </w:t>
      </w:r>
      <w:r w:rsidRPr="00D25ACA">
        <w:rPr>
          <w:color w:val="222222"/>
          <w:sz w:val="24"/>
          <w:szCs w:val="24"/>
          <w:shd w:val="clear" w:color="auto" w:fill="FFFFFF"/>
        </w:rPr>
        <w:t>care este o «respiraţie genitală»”</w:t>
      </w:r>
      <w:r w:rsidRPr="00D25ACA">
        <w:rPr>
          <w:rStyle w:val="FootnoteReference"/>
          <w:sz w:val="24"/>
          <w:szCs w:val="24"/>
          <w:shd w:val="clear" w:color="auto" w:fill="FFFFFF"/>
        </w:rPr>
        <w:footnoteReference w:id="15"/>
      </w:r>
      <w:r w:rsidRPr="00D25ACA">
        <w:rPr>
          <w:color w:val="222222"/>
          <w:sz w:val="24"/>
          <w:szCs w:val="24"/>
          <w:shd w:val="clear" w:color="auto" w:fill="FFFFFF"/>
        </w:rPr>
        <w:t xml:space="preserve">.  </w:t>
      </w:r>
    </w:p>
    <w:p w:rsidR="00887C51" w:rsidRPr="00D25ACA" w:rsidRDefault="00887C51" w:rsidP="00887C51">
      <w:pPr>
        <w:pStyle w:val="BodyText"/>
        <w:ind w:left="-180" w:right="-563" w:firstLine="720"/>
        <w:rPr>
          <w:sz w:val="24"/>
          <w:szCs w:val="24"/>
        </w:rPr>
      </w:pPr>
      <w:r w:rsidRPr="00D25ACA">
        <w:rPr>
          <w:sz w:val="24"/>
          <w:szCs w:val="24"/>
        </w:rPr>
        <w:t xml:space="preserve">În limba română, înţelegem prin actul </w:t>
      </w:r>
      <w:r w:rsidRPr="00D25ACA">
        <w:rPr>
          <w:i/>
          <w:sz w:val="24"/>
          <w:szCs w:val="24"/>
        </w:rPr>
        <w:t>în</w:t>
      </w:r>
      <w:r w:rsidRPr="00D25ACA">
        <w:rPr>
          <w:sz w:val="24"/>
          <w:szCs w:val="24"/>
        </w:rPr>
        <w:t xml:space="preserve">trupării Logosului nu o asumare opacă a trupului, ci o amplă </w:t>
      </w:r>
      <w:r w:rsidRPr="00D25ACA">
        <w:rPr>
          <w:i/>
          <w:iCs/>
          <w:sz w:val="24"/>
          <w:szCs w:val="24"/>
        </w:rPr>
        <w:t>înfiinţare</w:t>
      </w:r>
      <w:r w:rsidRPr="00D25ACA">
        <w:rPr>
          <w:sz w:val="24"/>
          <w:szCs w:val="24"/>
        </w:rPr>
        <w:t xml:space="preserve"> în sensul plenar al cuvântului, căci în cadrul reflecţiei limbii – mărturiseşte Constantin  Noica – „nu tot ce are fiinţare este cu adevărat, că fiinţa nu se acoperă cu fenomenele haotice şi cu aparenţa, ci că numai ceea ce capătă întruchipare </w:t>
      </w:r>
      <w:r w:rsidRPr="00D25ACA">
        <w:rPr>
          <w:i/>
          <w:iCs/>
          <w:sz w:val="24"/>
          <w:szCs w:val="24"/>
        </w:rPr>
        <w:t>este</w:t>
      </w:r>
      <w:r w:rsidRPr="00D25ACA">
        <w:rPr>
          <w:sz w:val="24"/>
          <w:szCs w:val="24"/>
        </w:rPr>
        <w:t xml:space="preserve">”. În susţinerea celor expuse filosoful adaugă din </w:t>
      </w:r>
      <w:r w:rsidRPr="00D25ACA">
        <w:rPr>
          <w:i/>
          <w:iCs/>
          <w:sz w:val="24"/>
          <w:szCs w:val="24"/>
        </w:rPr>
        <w:t>Mineiul</w:t>
      </w:r>
      <w:r w:rsidRPr="00D25ACA">
        <w:rPr>
          <w:sz w:val="24"/>
          <w:szCs w:val="24"/>
        </w:rPr>
        <w:t xml:space="preserve"> din anul 1776, textul: </w:t>
      </w:r>
      <w:r w:rsidRPr="00D25ACA">
        <w:rPr>
          <w:color w:val="222222"/>
          <w:sz w:val="24"/>
          <w:szCs w:val="24"/>
          <w:shd w:val="clear" w:color="auto" w:fill="FFFFFF"/>
        </w:rPr>
        <w:t>«</w:t>
      </w:r>
      <w:r w:rsidRPr="00D25ACA">
        <w:rPr>
          <w:i/>
          <w:iCs/>
          <w:sz w:val="24"/>
          <w:szCs w:val="24"/>
        </w:rPr>
        <w:t>Înfiinţându-se</w:t>
      </w:r>
      <w:r w:rsidRPr="00D25ACA">
        <w:rPr>
          <w:sz w:val="24"/>
          <w:szCs w:val="24"/>
        </w:rPr>
        <w:t xml:space="preserve"> cu toată fiinţa noastră Cuvântul cel mai presus de fiinţă…</w:t>
      </w:r>
      <w:r w:rsidRPr="00D25ACA">
        <w:rPr>
          <w:color w:val="222222"/>
          <w:sz w:val="24"/>
          <w:szCs w:val="24"/>
          <w:shd w:val="clear" w:color="auto" w:fill="FFFFFF"/>
        </w:rPr>
        <w:t>»</w:t>
      </w:r>
      <w:r w:rsidRPr="00D25ACA">
        <w:rPr>
          <w:sz w:val="24"/>
          <w:szCs w:val="24"/>
        </w:rPr>
        <w:t xml:space="preserve">, iar din Mineiul pe septembrie: </w:t>
      </w:r>
      <w:r w:rsidRPr="00D25ACA">
        <w:rPr>
          <w:color w:val="222222"/>
          <w:sz w:val="24"/>
          <w:szCs w:val="24"/>
          <w:shd w:val="clear" w:color="auto" w:fill="FFFFFF"/>
        </w:rPr>
        <w:t>«</w:t>
      </w:r>
      <w:r w:rsidRPr="00D25ACA">
        <w:rPr>
          <w:sz w:val="24"/>
          <w:szCs w:val="24"/>
        </w:rPr>
        <w:t>Cuvântul cel mai presus de gând şi cuvânt, carele este pricină fiinţei tuturor</w:t>
      </w:r>
      <w:r w:rsidRPr="00D25ACA">
        <w:rPr>
          <w:color w:val="222222"/>
          <w:sz w:val="24"/>
          <w:szCs w:val="24"/>
          <w:shd w:val="clear" w:color="auto" w:fill="FFFFFF"/>
        </w:rPr>
        <w:t>»</w:t>
      </w:r>
      <w:r w:rsidRPr="00D25ACA">
        <w:rPr>
          <w:rStyle w:val="FootnoteReference"/>
          <w:sz w:val="24"/>
          <w:szCs w:val="24"/>
        </w:rPr>
        <w:footnoteReference w:id="16"/>
      </w:r>
      <w:r w:rsidRPr="00D25ACA">
        <w:rPr>
          <w:sz w:val="24"/>
          <w:szCs w:val="24"/>
        </w:rPr>
        <w:t>. Cu toate că în limba română termenul „trup” deţine conţinuturile ontologice ale omului, limba mai propune şi pe acela de „om” (</w:t>
      </w:r>
      <w:r w:rsidRPr="00D25ACA">
        <w:rPr>
          <w:i/>
          <w:iCs/>
          <w:sz w:val="24"/>
          <w:szCs w:val="24"/>
        </w:rPr>
        <w:t>în</w:t>
      </w:r>
      <w:r w:rsidRPr="00D25ACA">
        <w:rPr>
          <w:sz w:val="24"/>
          <w:szCs w:val="24"/>
        </w:rPr>
        <w:t xml:space="preserve">omenire) în care se exprimă la nivel ipostatic ultim dimensiunea fiinţei umane: trup şi suflet întrepătruns şi </w:t>
      </w:r>
      <w:r w:rsidRPr="00D25ACA">
        <w:rPr>
          <w:i/>
          <w:iCs/>
          <w:sz w:val="24"/>
          <w:szCs w:val="24"/>
        </w:rPr>
        <w:t>întru</w:t>
      </w:r>
      <w:r w:rsidRPr="00D25ACA">
        <w:rPr>
          <w:sz w:val="24"/>
          <w:szCs w:val="24"/>
        </w:rPr>
        <w:t xml:space="preserve">chipat. Tot limba română desemnează prin termenul „trup” doar ceea ce derivă din taina  </w:t>
      </w:r>
      <w:r w:rsidRPr="00D25ACA">
        <w:rPr>
          <w:i/>
          <w:iCs/>
          <w:sz w:val="24"/>
          <w:szCs w:val="24"/>
        </w:rPr>
        <w:t>fiinţei</w:t>
      </w:r>
      <w:r w:rsidRPr="00D25ACA">
        <w:rPr>
          <w:sz w:val="24"/>
          <w:szCs w:val="24"/>
        </w:rPr>
        <w:t>-</w:t>
      </w:r>
      <w:r w:rsidRPr="00D25ACA">
        <w:rPr>
          <w:i/>
          <w:iCs/>
          <w:sz w:val="24"/>
          <w:szCs w:val="24"/>
        </w:rPr>
        <w:t>persoană</w:t>
      </w:r>
      <w:r w:rsidRPr="00D25ACA">
        <w:rPr>
          <w:sz w:val="24"/>
          <w:szCs w:val="24"/>
        </w:rPr>
        <w:t>, ci nicidecum nu ar desemna prin noţiunea de trup ceva ce ar proveni din regnul animal sau din categoria obiectelor.</w:t>
      </w:r>
    </w:p>
    <w:p w:rsidR="00887C51" w:rsidRPr="00D25ACA" w:rsidRDefault="00887C51" w:rsidP="00887C51">
      <w:pPr>
        <w:pStyle w:val="BodyText"/>
        <w:ind w:left="-180" w:right="-563" w:firstLine="720"/>
        <w:rPr>
          <w:sz w:val="24"/>
          <w:szCs w:val="24"/>
        </w:rPr>
      </w:pPr>
      <w:r w:rsidRPr="00D25ACA">
        <w:rPr>
          <w:sz w:val="24"/>
          <w:szCs w:val="24"/>
        </w:rPr>
        <w:t xml:space="preserve">  În acest sens Mircea Vulcănescu este primul gânditor teologal care realizează distincţia pertinentă dintre „corp” şi „trup” în accepţiunea reflexivă a limbii române. Acesta sesizează o opoziţie între „românescul </w:t>
      </w:r>
      <w:r w:rsidRPr="00D25ACA">
        <w:rPr>
          <w:i/>
          <w:iCs/>
          <w:sz w:val="24"/>
          <w:szCs w:val="24"/>
        </w:rPr>
        <w:t>trup</w:t>
      </w:r>
      <w:r w:rsidRPr="00D25ACA">
        <w:rPr>
          <w:sz w:val="24"/>
          <w:szCs w:val="24"/>
        </w:rPr>
        <w:t>” şi „</w:t>
      </w:r>
      <w:r w:rsidRPr="00D25ACA">
        <w:rPr>
          <w:i/>
          <w:iCs/>
          <w:sz w:val="24"/>
          <w:szCs w:val="24"/>
        </w:rPr>
        <w:t>corpul</w:t>
      </w:r>
      <w:r w:rsidRPr="00D25ACA">
        <w:rPr>
          <w:sz w:val="24"/>
          <w:szCs w:val="24"/>
        </w:rPr>
        <w:t xml:space="preserve"> apusenilor”, unde trupul se defineşte ontologic prin „</w:t>
      </w:r>
      <w:r w:rsidRPr="00D25ACA">
        <w:rPr>
          <w:i/>
          <w:iCs/>
          <w:sz w:val="24"/>
          <w:szCs w:val="24"/>
        </w:rPr>
        <w:t>chip</w:t>
      </w:r>
      <w:r w:rsidRPr="00D25ACA">
        <w:rPr>
          <w:sz w:val="24"/>
          <w:szCs w:val="24"/>
        </w:rPr>
        <w:t xml:space="preserve"> şi </w:t>
      </w:r>
      <w:r w:rsidRPr="00D25ACA">
        <w:rPr>
          <w:i/>
          <w:iCs/>
          <w:sz w:val="24"/>
          <w:szCs w:val="24"/>
        </w:rPr>
        <w:t>formă</w:t>
      </w:r>
      <w:r w:rsidRPr="00D25ACA">
        <w:rPr>
          <w:sz w:val="24"/>
          <w:szCs w:val="24"/>
        </w:rPr>
        <w:t>”, cu alte cuvinte toate caracteristicile existenţei sunt circumscrise în cadrul dat al potenţialităţilor fiinţei în sensul cel mai strict. În schimb, „corpul” se prezintă mai mult în „ideea de suport relativ fix de însuşiri şi de acţiune”</w:t>
      </w:r>
      <w:r w:rsidRPr="00D25ACA">
        <w:rPr>
          <w:rStyle w:val="FootnoteReference"/>
          <w:sz w:val="24"/>
          <w:szCs w:val="24"/>
        </w:rPr>
        <w:footnoteReference w:id="17"/>
      </w:r>
      <w:r w:rsidRPr="00D25ACA">
        <w:rPr>
          <w:sz w:val="24"/>
          <w:szCs w:val="24"/>
        </w:rPr>
        <w:t xml:space="preserve">. Mai mult, animalul este deţinător de </w:t>
      </w:r>
      <w:r w:rsidRPr="00D25ACA">
        <w:rPr>
          <w:i/>
          <w:iCs/>
          <w:sz w:val="24"/>
          <w:szCs w:val="24"/>
        </w:rPr>
        <w:t>corp</w:t>
      </w:r>
      <w:r w:rsidRPr="00D25ACA">
        <w:rPr>
          <w:sz w:val="24"/>
          <w:szCs w:val="24"/>
        </w:rPr>
        <w:t xml:space="preserve">, și nu de </w:t>
      </w:r>
      <w:r w:rsidRPr="00D25ACA">
        <w:rPr>
          <w:i/>
          <w:sz w:val="24"/>
          <w:szCs w:val="24"/>
        </w:rPr>
        <w:t>trup</w:t>
      </w:r>
      <w:r w:rsidRPr="00D25ACA">
        <w:rPr>
          <w:sz w:val="24"/>
          <w:szCs w:val="24"/>
        </w:rPr>
        <w:t xml:space="preserve">, chiar dacă posedă instincte primare ce ţin de dimensiunea neraţionalului; tot aşa şi în sfera celestă se înţelege că îngerii au </w:t>
      </w:r>
      <w:r w:rsidRPr="00D25ACA">
        <w:rPr>
          <w:i/>
          <w:iCs/>
          <w:sz w:val="24"/>
          <w:szCs w:val="24"/>
        </w:rPr>
        <w:t>corpuri</w:t>
      </w:r>
      <w:r w:rsidRPr="00D25ACA">
        <w:rPr>
          <w:sz w:val="24"/>
          <w:szCs w:val="24"/>
        </w:rPr>
        <w:t xml:space="preserve">, însă sunt străine de impulsurile carnale. Aşadar, trupul este omenesc prin definiţie şi este posesor de senzualitate raţională în opoziţie cu regnul animal iraţional-sexuat, totodată în opoziţie şi cu cel celest raţional-asexuat. </w:t>
      </w:r>
    </w:p>
    <w:p w:rsidR="00887C51" w:rsidRPr="00D25ACA" w:rsidRDefault="00887C51" w:rsidP="00887C51">
      <w:pPr>
        <w:autoSpaceDE w:val="0"/>
        <w:autoSpaceDN w:val="0"/>
        <w:adjustRightInd w:val="0"/>
        <w:spacing w:after="0" w:line="240" w:lineRule="auto"/>
        <w:ind w:left="-180" w:right="-563" w:firstLine="810"/>
        <w:jc w:val="both"/>
        <w:rPr>
          <w:rFonts w:ascii="Times New Roman" w:hAnsi="Times New Roman"/>
          <w:sz w:val="24"/>
          <w:szCs w:val="24"/>
          <w:lang w:val="ro-RO"/>
        </w:rPr>
      </w:pPr>
      <w:r w:rsidRPr="00D25ACA">
        <w:rPr>
          <w:rFonts w:ascii="Times New Roman" w:hAnsi="Times New Roman"/>
          <w:sz w:val="24"/>
          <w:szCs w:val="24"/>
          <w:lang w:val="ro-RO"/>
        </w:rPr>
        <w:t xml:space="preserve">Din perspectiva fenomenologică, trupul se prezintă în cadrul </w:t>
      </w:r>
      <w:r w:rsidRPr="00D25ACA">
        <w:rPr>
          <w:rFonts w:ascii="Times New Roman" w:hAnsi="Times New Roman"/>
          <w:i/>
          <w:iCs/>
          <w:sz w:val="24"/>
          <w:szCs w:val="24"/>
          <w:lang w:val="ro-RO"/>
        </w:rPr>
        <w:t>realului</w:t>
      </w:r>
      <w:r w:rsidRPr="00D25ACA">
        <w:rPr>
          <w:rFonts w:ascii="Times New Roman" w:hAnsi="Times New Roman"/>
          <w:sz w:val="24"/>
          <w:szCs w:val="24"/>
          <w:lang w:val="ro-RO"/>
        </w:rPr>
        <w:t xml:space="preserve"> cu cele două dimensiuni ale sale de </w:t>
      </w:r>
      <w:r w:rsidRPr="00D25ACA">
        <w:rPr>
          <w:rFonts w:ascii="Times New Roman" w:hAnsi="Times New Roman"/>
          <w:i/>
          <w:iCs/>
          <w:sz w:val="24"/>
          <w:szCs w:val="24"/>
          <w:lang w:val="ro-RO"/>
        </w:rPr>
        <w:t>lucru</w:t>
      </w:r>
      <w:r w:rsidRPr="00D25ACA">
        <w:rPr>
          <w:rFonts w:ascii="Times New Roman" w:hAnsi="Times New Roman"/>
          <w:sz w:val="24"/>
          <w:szCs w:val="24"/>
          <w:lang w:val="ro-RO"/>
        </w:rPr>
        <w:t xml:space="preserve">, dar şi de </w:t>
      </w:r>
      <w:r w:rsidRPr="00D25ACA">
        <w:rPr>
          <w:rFonts w:ascii="Times New Roman" w:hAnsi="Times New Roman"/>
          <w:i/>
          <w:iCs/>
          <w:sz w:val="24"/>
          <w:szCs w:val="24"/>
          <w:lang w:val="ro-RO"/>
        </w:rPr>
        <w:t>fiinţă</w:t>
      </w:r>
      <w:r w:rsidRPr="00D25ACA">
        <w:rPr>
          <w:rFonts w:ascii="Times New Roman" w:hAnsi="Times New Roman"/>
          <w:sz w:val="24"/>
          <w:szCs w:val="24"/>
          <w:lang w:val="ro-RO"/>
        </w:rPr>
        <w:t xml:space="preserve"> în acelaşi timp. Dimensiunea vieţii trupului este dată de apofatismul divin al persoanei, însă obiectualizarea se face la nivelul trupului materializat. Mircea Vulcănescu decriptează în limba română distincţia între caratele trupului ca valoare mistică a omului, şi „corp” în sens de cadru relativ fix capabil de a susţine ceva.  „Faptul de </w:t>
      </w:r>
      <w:r w:rsidRPr="00D25ACA">
        <w:rPr>
          <w:rFonts w:ascii="Times New Roman" w:hAnsi="Times New Roman"/>
          <w:i/>
          <w:iCs/>
          <w:sz w:val="24"/>
          <w:szCs w:val="24"/>
          <w:lang w:val="ro-RO"/>
        </w:rPr>
        <w:t>a avea viaţă</w:t>
      </w:r>
      <w:r w:rsidRPr="00D25ACA">
        <w:rPr>
          <w:rFonts w:ascii="Times New Roman" w:hAnsi="Times New Roman"/>
          <w:sz w:val="24"/>
          <w:szCs w:val="24"/>
          <w:lang w:val="ro-RO"/>
        </w:rPr>
        <w:t xml:space="preserve"> care-i conferă calitatea de </w:t>
      </w:r>
      <w:r w:rsidRPr="00D25ACA">
        <w:rPr>
          <w:rFonts w:ascii="Times New Roman" w:hAnsi="Times New Roman"/>
          <w:i/>
          <w:iCs/>
          <w:sz w:val="24"/>
          <w:szCs w:val="24"/>
          <w:lang w:val="ro-RO"/>
        </w:rPr>
        <w:t>fiinţă</w:t>
      </w:r>
      <w:r w:rsidRPr="00D25ACA">
        <w:rPr>
          <w:rFonts w:ascii="Times New Roman" w:hAnsi="Times New Roman"/>
          <w:sz w:val="24"/>
          <w:szCs w:val="24"/>
          <w:lang w:val="ro-RO"/>
        </w:rPr>
        <w:t xml:space="preserve"> face ca </w:t>
      </w:r>
      <w:r w:rsidRPr="00D25ACA">
        <w:rPr>
          <w:rFonts w:ascii="Times New Roman" w:hAnsi="Times New Roman"/>
          <w:i/>
          <w:iCs/>
          <w:sz w:val="24"/>
          <w:szCs w:val="24"/>
          <w:lang w:val="ro-RO"/>
        </w:rPr>
        <w:t>Trupul-obiect</w:t>
      </w:r>
      <w:r w:rsidRPr="00D25ACA">
        <w:rPr>
          <w:rFonts w:ascii="Times New Roman" w:hAnsi="Times New Roman"/>
          <w:sz w:val="24"/>
          <w:szCs w:val="24"/>
          <w:lang w:val="ro-RO"/>
        </w:rPr>
        <w:t xml:space="preserve"> al realităţii să devină </w:t>
      </w:r>
      <w:r w:rsidRPr="00D25ACA">
        <w:rPr>
          <w:rFonts w:ascii="Times New Roman" w:hAnsi="Times New Roman"/>
          <w:i/>
          <w:iCs/>
          <w:sz w:val="24"/>
          <w:szCs w:val="24"/>
          <w:lang w:val="ro-RO"/>
        </w:rPr>
        <w:t>Trupul-valoare</w:t>
      </w:r>
      <w:r w:rsidRPr="00D25ACA">
        <w:rPr>
          <w:rFonts w:ascii="Times New Roman" w:hAnsi="Times New Roman"/>
          <w:sz w:val="24"/>
          <w:szCs w:val="24"/>
          <w:lang w:val="ro-RO"/>
        </w:rPr>
        <w:t xml:space="preserve"> al Lumii. Această </w:t>
      </w:r>
      <w:r w:rsidRPr="00D25ACA">
        <w:rPr>
          <w:rFonts w:ascii="Times New Roman" w:hAnsi="Times New Roman"/>
          <w:i/>
          <w:iCs/>
          <w:sz w:val="24"/>
          <w:szCs w:val="24"/>
          <w:lang w:val="ro-RO"/>
        </w:rPr>
        <w:t>valoare</w:t>
      </w:r>
      <w:r w:rsidRPr="00D25ACA">
        <w:rPr>
          <w:rFonts w:ascii="Times New Roman" w:hAnsi="Times New Roman"/>
          <w:sz w:val="24"/>
          <w:szCs w:val="24"/>
          <w:lang w:val="ro-RO"/>
        </w:rPr>
        <w:t xml:space="preserve"> a </w:t>
      </w:r>
      <w:r w:rsidRPr="00D25ACA">
        <w:rPr>
          <w:rFonts w:ascii="Times New Roman" w:hAnsi="Times New Roman"/>
          <w:i/>
          <w:iCs/>
          <w:sz w:val="24"/>
          <w:szCs w:val="24"/>
          <w:lang w:val="ro-RO"/>
        </w:rPr>
        <w:t>Trupului</w:t>
      </w:r>
      <w:r w:rsidRPr="00D25ACA">
        <w:rPr>
          <w:rFonts w:ascii="Times New Roman" w:hAnsi="Times New Roman"/>
          <w:sz w:val="24"/>
          <w:szCs w:val="24"/>
          <w:lang w:val="ro-RO"/>
        </w:rPr>
        <w:t xml:space="preserve"> reprezintă dimensiunea axiologică a acestuia”</w:t>
      </w:r>
      <w:r w:rsidRPr="00D25ACA">
        <w:rPr>
          <w:rStyle w:val="FootnoteReference"/>
          <w:rFonts w:ascii="Times New Roman" w:hAnsi="Times New Roman"/>
          <w:sz w:val="24"/>
          <w:szCs w:val="24"/>
        </w:rPr>
        <w:footnoteReference w:id="18"/>
      </w:r>
      <w:r w:rsidRPr="00D25ACA">
        <w:rPr>
          <w:rFonts w:ascii="Times New Roman" w:hAnsi="Times New Roman"/>
          <w:sz w:val="24"/>
          <w:szCs w:val="24"/>
          <w:lang w:val="ro-RO"/>
        </w:rPr>
        <w:t>. De aici şi perspectiva holistică asupra omului în spiritualitatea românească.  Este semnificativ faptul că, spre deo</w:t>
      </w:r>
      <w:r w:rsidRPr="00D25ACA">
        <w:rPr>
          <w:rFonts w:ascii="Times New Roman" w:hAnsi="Times New Roman"/>
          <w:sz w:val="24"/>
          <w:szCs w:val="24"/>
          <w:lang w:val="ro-RO"/>
        </w:rPr>
        <w:softHyphen/>
        <w:t xml:space="preserve">sebire de limba franceză, care a preluat din limba latină termenii </w:t>
      </w:r>
      <w:r w:rsidRPr="00D25ACA">
        <w:rPr>
          <w:rFonts w:ascii="Times New Roman" w:hAnsi="Times New Roman"/>
          <w:i/>
          <w:iCs/>
          <w:sz w:val="24"/>
          <w:szCs w:val="24"/>
          <w:lang w:val="ro-RO"/>
        </w:rPr>
        <w:t>corpus</w:t>
      </w:r>
      <w:r w:rsidRPr="00D25ACA">
        <w:rPr>
          <w:rFonts w:ascii="Times New Roman" w:hAnsi="Times New Roman"/>
          <w:sz w:val="24"/>
          <w:szCs w:val="24"/>
          <w:lang w:val="ro-RO"/>
        </w:rPr>
        <w:t xml:space="preserve"> şi </w:t>
      </w:r>
      <w:r w:rsidRPr="00D25ACA">
        <w:rPr>
          <w:rFonts w:ascii="Times New Roman" w:hAnsi="Times New Roman"/>
          <w:i/>
          <w:iCs/>
          <w:sz w:val="24"/>
          <w:szCs w:val="24"/>
          <w:lang w:val="ro-RO"/>
        </w:rPr>
        <w:t xml:space="preserve">anima </w:t>
      </w:r>
      <w:r w:rsidRPr="00D25ACA">
        <w:rPr>
          <w:rFonts w:ascii="Times New Roman" w:hAnsi="Times New Roman"/>
          <w:sz w:val="24"/>
          <w:szCs w:val="24"/>
          <w:lang w:val="ro-RO"/>
        </w:rPr>
        <w:t xml:space="preserve">cu sensurile lor diferite, limba română i-a asociat. Pentru a </w:t>
      </w:r>
      <w:r w:rsidRPr="00D25ACA">
        <w:rPr>
          <w:rFonts w:ascii="Times New Roman" w:hAnsi="Times New Roman"/>
          <w:sz w:val="24"/>
          <w:szCs w:val="24"/>
          <w:lang w:val="ro-RO"/>
        </w:rPr>
        <w:lastRenderedPageBreak/>
        <w:t xml:space="preserve">desemna realitatea psiho-somatică, există termenii </w:t>
      </w:r>
      <w:r w:rsidRPr="00D25ACA">
        <w:rPr>
          <w:rFonts w:ascii="Times New Roman" w:hAnsi="Times New Roman"/>
          <w:i/>
          <w:iCs/>
          <w:sz w:val="24"/>
          <w:szCs w:val="24"/>
          <w:lang w:val="ro-RO"/>
        </w:rPr>
        <w:t>corp</w:t>
      </w:r>
      <w:r w:rsidRPr="00D25ACA">
        <w:rPr>
          <w:rFonts w:ascii="Times New Roman" w:hAnsi="Times New Roman"/>
          <w:sz w:val="24"/>
          <w:szCs w:val="24"/>
          <w:lang w:val="ro-RO"/>
        </w:rPr>
        <w:t xml:space="preserve"> şi rezervat pentru om </w:t>
      </w:r>
      <w:r w:rsidRPr="00D25ACA">
        <w:rPr>
          <w:rFonts w:ascii="Times New Roman" w:hAnsi="Times New Roman"/>
          <w:i/>
          <w:iCs/>
          <w:sz w:val="24"/>
          <w:szCs w:val="24"/>
          <w:lang w:val="ro-RO"/>
        </w:rPr>
        <w:t>trup</w:t>
      </w:r>
      <w:r w:rsidRPr="00D25ACA">
        <w:rPr>
          <w:rFonts w:ascii="Times New Roman" w:hAnsi="Times New Roman"/>
          <w:sz w:val="24"/>
          <w:szCs w:val="24"/>
          <w:lang w:val="ro-RO"/>
        </w:rPr>
        <w:t xml:space="preserve"> în care bate inima (din lat. </w:t>
      </w:r>
      <w:r w:rsidRPr="00D25ACA">
        <w:rPr>
          <w:rFonts w:ascii="Times New Roman" w:hAnsi="Times New Roman"/>
          <w:i/>
          <w:iCs/>
          <w:sz w:val="24"/>
          <w:szCs w:val="24"/>
          <w:lang w:val="ro-RO"/>
        </w:rPr>
        <w:t>anima</w:t>
      </w:r>
      <w:r w:rsidRPr="00D25ACA">
        <w:rPr>
          <w:rFonts w:ascii="Times New Roman" w:hAnsi="Times New Roman"/>
          <w:sz w:val="24"/>
          <w:szCs w:val="24"/>
          <w:lang w:val="ro-RO"/>
        </w:rPr>
        <w:t xml:space="preserve">). Trupul corespunde ebraicului </w:t>
      </w:r>
      <w:r w:rsidRPr="00D25ACA">
        <w:rPr>
          <w:rFonts w:ascii="Times New Roman" w:hAnsi="Times New Roman"/>
          <w:i/>
          <w:iCs/>
          <w:sz w:val="24"/>
          <w:szCs w:val="24"/>
          <w:lang w:val="ro-RO"/>
        </w:rPr>
        <w:t>basar</w:t>
      </w:r>
      <w:r w:rsidRPr="00D25ACA">
        <w:rPr>
          <w:rFonts w:ascii="Times New Roman" w:hAnsi="Times New Roman"/>
          <w:sz w:val="24"/>
          <w:szCs w:val="24"/>
          <w:lang w:val="ro-RO"/>
        </w:rPr>
        <w:t>, ex</w:t>
      </w:r>
      <w:r w:rsidRPr="00D25ACA">
        <w:rPr>
          <w:rFonts w:ascii="Times New Roman" w:hAnsi="Times New Roman"/>
          <w:sz w:val="24"/>
          <w:szCs w:val="24"/>
          <w:lang w:val="ro-RO"/>
        </w:rPr>
        <w:softHyphen/>
        <w:t xml:space="preserve">primând </w:t>
      </w:r>
      <w:r w:rsidRPr="00D25ACA">
        <w:rPr>
          <w:rFonts w:ascii="Times New Roman" w:hAnsi="Times New Roman"/>
          <w:i/>
          <w:iCs/>
          <w:sz w:val="24"/>
          <w:szCs w:val="24"/>
          <w:lang w:val="ro-RO"/>
        </w:rPr>
        <w:t>corpus</w:t>
      </w:r>
      <w:r w:rsidRPr="00D25ACA">
        <w:rPr>
          <w:rFonts w:ascii="Times New Roman" w:hAnsi="Times New Roman"/>
          <w:sz w:val="24"/>
          <w:szCs w:val="24"/>
          <w:lang w:val="ro-RO"/>
        </w:rPr>
        <w:t xml:space="preserve"> şi </w:t>
      </w:r>
      <w:r w:rsidRPr="00D25ACA">
        <w:rPr>
          <w:rFonts w:ascii="Times New Roman" w:hAnsi="Times New Roman"/>
          <w:i/>
          <w:iCs/>
          <w:sz w:val="24"/>
          <w:szCs w:val="24"/>
          <w:lang w:val="ro-RO"/>
        </w:rPr>
        <w:t>anima</w:t>
      </w:r>
      <w:r w:rsidRPr="00D25ACA">
        <w:rPr>
          <w:rFonts w:ascii="Times New Roman" w:hAnsi="Times New Roman"/>
          <w:sz w:val="24"/>
          <w:szCs w:val="24"/>
          <w:lang w:val="ro-RO"/>
        </w:rPr>
        <w:t xml:space="preserve"> laolaltă. Cuvântul </w:t>
      </w:r>
      <w:r w:rsidRPr="00D25ACA">
        <w:rPr>
          <w:rFonts w:ascii="Times New Roman" w:hAnsi="Times New Roman"/>
          <w:i/>
          <w:iCs/>
          <w:sz w:val="24"/>
          <w:szCs w:val="24"/>
          <w:lang w:val="ro-RO"/>
        </w:rPr>
        <w:t xml:space="preserve">suflet </w:t>
      </w:r>
      <w:r w:rsidRPr="00D25ACA">
        <w:rPr>
          <w:rFonts w:ascii="Times New Roman" w:hAnsi="Times New Roman"/>
          <w:sz w:val="24"/>
          <w:szCs w:val="24"/>
          <w:lang w:val="ro-RO"/>
        </w:rPr>
        <w:t xml:space="preserve">provine din latinescul </w:t>
      </w:r>
      <w:r w:rsidRPr="00D25ACA">
        <w:rPr>
          <w:rFonts w:ascii="Times New Roman" w:hAnsi="Times New Roman"/>
          <w:i/>
          <w:iCs/>
          <w:sz w:val="24"/>
          <w:szCs w:val="24"/>
          <w:lang w:val="ro-RO"/>
        </w:rPr>
        <w:t>sufflare</w:t>
      </w:r>
      <w:r w:rsidRPr="00D25ACA">
        <w:rPr>
          <w:rStyle w:val="FootnoteReference"/>
          <w:rFonts w:ascii="Times New Roman" w:hAnsi="Times New Roman"/>
          <w:sz w:val="24"/>
          <w:szCs w:val="24"/>
        </w:rPr>
        <w:footnoteReference w:id="19"/>
      </w:r>
      <w:r w:rsidRPr="00D25ACA">
        <w:rPr>
          <w:rFonts w:ascii="Times New Roman" w:hAnsi="Times New Roman"/>
          <w:sz w:val="24"/>
          <w:szCs w:val="24"/>
          <w:lang w:val="ro-RO"/>
        </w:rPr>
        <w:t>, un verb ce sugerează mişcarea, viaţa, precum și strânsa legătură cu trupul din care se suflă.</w:t>
      </w:r>
    </w:p>
    <w:p w:rsidR="00887C51" w:rsidRPr="00D25ACA" w:rsidRDefault="00887C51" w:rsidP="00887C51">
      <w:pPr>
        <w:pStyle w:val="BodyText"/>
        <w:ind w:left="-180" w:right="-563" w:firstLine="720"/>
        <w:rPr>
          <w:sz w:val="24"/>
          <w:szCs w:val="24"/>
        </w:rPr>
      </w:pPr>
      <w:r w:rsidRPr="00D25ACA">
        <w:rPr>
          <w:sz w:val="24"/>
          <w:szCs w:val="24"/>
        </w:rPr>
        <w:t xml:space="preserve">Sfintele Scripturi revelează gestul arhetipal al lui Dumnezeu Unul în Treime prin care omul este plămădit din ţărână – pământ în care se va întoarce –, iar suflul îi este direct dat de către însuşi Ziditorul. Fiul lui Dumnezeu Se </w:t>
      </w:r>
      <w:r w:rsidRPr="00D25ACA">
        <w:rPr>
          <w:i/>
          <w:sz w:val="24"/>
          <w:szCs w:val="24"/>
        </w:rPr>
        <w:t>în</w:t>
      </w:r>
      <w:r w:rsidRPr="00D25ACA">
        <w:rPr>
          <w:sz w:val="24"/>
          <w:szCs w:val="24"/>
        </w:rPr>
        <w:t xml:space="preserve">trupează – spune limba română definind o ontologie – deci nu se </w:t>
      </w:r>
      <w:r w:rsidRPr="00D25ACA">
        <w:rPr>
          <w:i/>
          <w:sz w:val="24"/>
          <w:szCs w:val="24"/>
        </w:rPr>
        <w:t>în</w:t>
      </w:r>
      <w:r w:rsidRPr="00D25ACA">
        <w:rPr>
          <w:sz w:val="24"/>
          <w:szCs w:val="24"/>
        </w:rPr>
        <w:t xml:space="preserve">corporează, ceea ce ar indica o alipire la nivel superficial a naturii dumnezeieşti de cea umană. Deci </w:t>
      </w:r>
      <w:r w:rsidRPr="00D25ACA">
        <w:rPr>
          <w:i/>
          <w:sz w:val="24"/>
          <w:szCs w:val="24"/>
        </w:rPr>
        <w:t>în</w:t>
      </w:r>
      <w:r w:rsidRPr="00D25ACA">
        <w:rPr>
          <w:sz w:val="24"/>
          <w:szCs w:val="24"/>
        </w:rPr>
        <w:t>trupare înseamnă o chenoză în chivotul-cosmos reprezentat de Fecioara Maria pentru a lua dinlăuntru trup; încarnare însă fără de patimă. În mitologia românească pământul, din care i s-a plămădit trupul omului, era la început transparent. „</w:t>
      </w:r>
      <w:r w:rsidRPr="00D25ACA">
        <w:rPr>
          <w:i/>
          <w:iCs/>
          <w:sz w:val="24"/>
          <w:szCs w:val="24"/>
        </w:rPr>
        <w:t>Pământul</w:t>
      </w:r>
      <w:r w:rsidRPr="00D25ACA">
        <w:rPr>
          <w:sz w:val="24"/>
          <w:szCs w:val="24"/>
        </w:rPr>
        <w:t xml:space="preserve"> a fost la început alb, ca lumina, dar s-a-ntunecat pe urmă, după uciderea primului om şi după înrăirea oamenilor. Se crede că </w:t>
      </w:r>
      <w:r w:rsidRPr="00D25ACA">
        <w:rPr>
          <w:i/>
          <w:iCs/>
          <w:sz w:val="24"/>
          <w:szCs w:val="24"/>
        </w:rPr>
        <w:t>Pământul</w:t>
      </w:r>
      <w:r w:rsidRPr="00D25ACA">
        <w:rPr>
          <w:sz w:val="24"/>
          <w:szCs w:val="24"/>
        </w:rPr>
        <w:t>, ca orice fiinţă vie, are cap - capul pământului, - inimă şi coadă. Apa este sângele lui”</w:t>
      </w:r>
      <w:r w:rsidRPr="00D25ACA">
        <w:rPr>
          <w:rStyle w:val="FootnoteReference"/>
          <w:sz w:val="24"/>
          <w:szCs w:val="24"/>
        </w:rPr>
        <w:footnoteReference w:id="20"/>
      </w:r>
      <w:r w:rsidRPr="00D25ACA">
        <w:rPr>
          <w:sz w:val="24"/>
          <w:szCs w:val="24"/>
        </w:rPr>
        <w:t xml:space="preserve">. Acest fapt, exprimat în termenii naiv populari, dezvăluie consecinţele căderii în păcat, mai exact prin pierderea sinelui, omul decade în regiunea nocturnă a patimilor trupului, implicit în bezna teluricului. </w:t>
      </w:r>
    </w:p>
    <w:p w:rsidR="00887C51" w:rsidRPr="00D25ACA" w:rsidRDefault="00887C51" w:rsidP="00887C51">
      <w:pPr>
        <w:pStyle w:val="BodyText"/>
        <w:ind w:left="-180" w:right="-563" w:firstLine="720"/>
        <w:rPr>
          <w:sz w:val="24"/>
          <w:szCs w:val="24"/>
        </w:rPr>
      </w:pPr>
      <w:r w:rsidRPr="00D25ACA">
        <w:rPr>
          <w:sz w:val="24"/>
          <w:szCs w:val="24"/>
        </w:rPr>
        <w:t xml:space="preserve">În acest context, creştinismul aduce o nouă viziune cu privire la ontologia umană, unde trupul, împreună cu sufletul, este receptacul al harului dumnezeiesc, în vederea învierii ca persoană deplină. Aşadar, trupul se înscrie în traiectoria ontologică, în registrul </w:t>
      </w:r>
      <w:r w:rsidRPr="00D25ACA">
        <w:rPr>
          <w:i/>
          <w:iCs/>
          <w:sz w:val="24"/>
          <w:szCs w:val="24"/>
        </w:rPr>
        <w:t>raţiunii de a fi</w:t>
      </w:r>
      <w:r w:rsidRPr="00D25ACA">
        <w:rPr>
          <w:sz w:val="24"/>
          <w:szCs w:val="24"/>
        </w:rPr>
        <w:t xml:space="preserve">, deci a devenirii plenare a omului: chip şi asemănare a lui Dumnezeu. Corpul, în limba română, presupune însă existenţa sau </w:t>
      </w:r>
      <w:r w:rsidRPr="00D25ACA">
        <w:rPr>
          <w:i/>
          <w:iCs/>
          <w:sz w:val="24"/>
          <w:szCs w:val="24"/>
        </w:rPr>
        <w:t>actul de a fi</w:t>
      </w:r>
      <w:r w:rsidRPr="00D25ACA">
        <w:rPr>
          <w:sz w:val="24"/>
          <w:szCs w:val="24"/>
        </w:rPr>
        <w:t xml:space="preserve"> pur şi simplu specific celorlalte regnuri care nu implică chipul şi asemănarea ipostatică a lui Dumnezeu. Această înţelegere răsăriteană a trupului face ca acesta să nu decadă în „corp” care este disponibil secţionării experimentale de tip ştiinţific. Trupul este sfânt pentru că era prefigurată </w:t>
      </w:r>
      <w:r w:rsidRPr="00D25ACA">
        <w:rPr>
          <w:i/>
          <w:iCs/>
          <w:sz w:val="24"/>
          <w:szCs w:val="24"/>
        </w:rPr>
        <w:t>întruparea</w:t>
      </w:r>
      <w:r w:rsidRPr="00D25ACA">
        <w:rPr>
          <w:sz w:val="24"/>
          <w:szCs w:val="24"/>
        </w:rPr>
        <w:t xml:space="preserve"> Mântuitorului mai înainte de întemeierea lumii.  </w:t>
      </w:r>
    </w:p>
    <w:p w:rsidR="00887C51" w:rsidRPr="00D25ACA" w:rsidRDefault="00887C51" w:rsidP="00887C51">
      <w:pPr>
        <w:pStyle w:val="BodyText"/>
        <w:ind w:left="-180" w:right="-563"/>
        <w:rPr>
          <w:sz w:val="24"/>
          <w:szCs w:val="24"/>
        </w:rPr>
      </w:pPr>
      <w:r w:rsidRPr="00D25ACA">
        <w:rPr>
          <w:sz w:val="24"/>
          <w:szCs w:val="24"/>
        </w:rPr>
        <w:t xml:space="preserve">Sfântul Iustin Popovici descrie „viaţa” omului în chip de cruce: verticala ontologică (revelată de teologie) şi orizontala fenomenologică (sondată de filosofie); viaţă care poartă numele, în accepţiunea sa, de </w:t>
      </w:r>
      <w:r w:rsidRPr="00D25ACA">
        <w:rPr>
          <w:i/>
          <w:iCs/>
          <w:sz w:val="24"/>
          <w:szCs w:val="24"/>
        </w:rPr>
        <w:t>logonost</w:t>
      </w:r>
      <w:r w:rsidRPr="00D25ACA">
        <w:rPr>
          <w:sz w:val="24"/>
          <w:szCs w:val="24"/>
        </w:rPr>
        <w:t xml:space="preserve"> sau </w:t>
      </w:r>
      <w:r w:rsidRPr="00D25ACA">
        <w:rPr>
          <w:i/>
          <w:iCs/>
          <w:sz w:val="24"/>
          <w:szCs w:val="24"/>
        </w:rPr>
        <w:t>logositate</w:t>
      </w:r>
      <w:r w:rsidRPr="00D25ACA">
        <w:rPr>
          <w:sz w:val="24"/>
          <w:szCs w:val="24"/>
        </w:rPr>
        <w:t xml:space="preserve"> prin Creaţie şi Întrupare deopotrivă în perspectiva Parusiei. Logositatea îi conferă omului chip şi fiinţă totodată, mai exact temeiul </w:t>
      </w:r>
      <w:r w:rsidRPr="00D25ACA">
        <w:rPr>
          <w:i/>
          <w:iCs/>
          <w:sz w:val="24"/>
          <w:szCs w:val="24"/>
        </w:rPr>
        <w:t>raţiunii de a fi</w:t>
      </w:r>
      <w:r w:rsidRPr="00D25ACA">
        <w:rPr>
          <w:sz w:val="24"/>
          <w:szCs w:val="24"/>
        </w:rPr>
        <w:t xml:space="preserve"> al omului ca părtaş al vieţii veşnice viitoare. Ceea ce </w:t>
      </w:r>
      <w:r w:rsidRPr="00D25ACA">
        <w:rPr>
          <w:i/>
          <w:iCs/>
          <w:sz w:val="24"/>
          <w:szCs w:val="24"/>
        </w:rPr>
        <w:t>de</w:t>
      </w:r>
      <w:r w:rsidRPr="00D25ACA">
        <w:rPr>
          <w:sz w:val="24"/>
          <w:szCs w:val="24"/>
        </w:rPr>
        <w:t>logosifică pe om, adaugă Sfântul Iustin, este păcatul care atrage moartea, lipsa de sens în viaţa aceasta şi mai apoi pierderea mântuirii</w:t>
      </w:r>
      <w:r w:rsidRPr="00D25ACA">
        <w:rPr>
          <w:rStyle w:val="FootnoteReference"/>
          <w:iCs/>
          <w:sz w:val="24"/>
          <w:szCs w:val="24"/>
        </w:rPr>
        <w:footnoteReference w:id="21"/>
      </w:r>
      <w:r w:rsidRPr="00D25ACA">
        <w:rPr>
          <w:sz w:val="24"/>
          <w:szCs w:val="24"/>
        </w:rPr>
        <w:t xml:space="preserve">. Fără Logos, omul ajunge la </w:t>
      </w:r>
      <w:r w:rsidRPr="00D25ACA">
        <w:rPr>
          <w:i/>
          <w:iCs/>
          <w:sz w:val="24"/>
          <w:szCs w:val="24"/>
        </w:rPr>
        <w:t>des</w:t>
      </w:r>
      <w:r w:rsidRPr="00D25ACA">
        <w:rPr>
          <w:sz w:val="24"/>
          <w:szCs w:val="24"/>
        </w:rPr>
        <w:t xml:space="preserve">fiinţare, căci numai Logos-ul, prin desemnarea axelor crucii suprapuse, logosifică, adică îi conferă omului densitate ontologică ipostatică. </w:t>
      </w:r>
    </w:p>
    <w:p w:rsidR="00887C51" w:rsidRDefault="00887C51" w:rsidP="00887C51">
      <w:pPr>
        <w:pStyle w:val="BodyText"/>
        <w:ind w:left="-180" w:right="-563"/>
        <w:rPr>
          <w:sz w:val="24"/>
          <w:szCs w:val="24"/>
        </w:rPr>
      </w:pPr>
      <w:r w:rsidRPr="00D25ACA">
        <w:rPr>
          <w:sz w:val="24"/>
          <w:szCs w:val="24"/>
        </w:rPr>
        <w:t xml:space="preserve">În cadrele aceleiaşi ontologii, fenomenologul Michel Henry intuieşte în pasajele Evangheliei după  Sfântul Apostol și Evanghelist Ioan, esenţa „vieţii” omului sub numele de </w:t>
      </w:r>
      <w:r w:rsidRPr="00D25ACA">
        <w:rPr>
          <w:i/>
          <w:iCs/>
          <w:sz w:val="24"/>
          <w:szCs w:val="24"/>
        </w:rPr>
        <w:t>corp subiectiv</w:t>
      </w:r>
      <w:r w:rsidRPr="00D25ACA">
        <w:rPr>
          <w:sz w:val="24"/>
          <w:szCs w:val="24"/>
        </w:rPr>
        <w:t xml:space="preserve"> pe care l-am putea omologa, în parte, cu </w:t>
      </w:r>
      <w:r w:rsidRPr="00D25ACA">
        <w:rPr>
          <w:i/>
          <w:iCs/>
          <w:sz w:val="24"/>
          <w:szCs w:val="24"/>
        </w:rPr>
        <w:t>logositatea</w:t>
      </w:r>
      <w:r w:rsidRPr="00D25ACA">
        <w:rPr>
          <w:sz w:val="24"/>
          <w:szCs w:val="24"/>
        </w:rPr>
        <w:t xml:space="preserve"> Sfântului Iustin Popovici. Pentru clădirea unui edificiu teologal, Michael Henry are nevoie de o dublare a termenului </w:t>
      </w:r>
      <w:r w:rsidRPr="00D25ACA">
        <w:rPr>
          <w:i/>
          <w:iCs/>
          <w:sz w:val="24"/>
          <w:szCs w:val="24"/>
        </w:rPr>
        <w:t xml:space="preserve">corps </w:t>
      </w:r>
      <w:r w:rsidRPr="00D25ACA">
        <w:rPr>
          <w:sz w:val="24"/>
          <w:szCs w:val="24"/>
        </w:rPr>
        <w:t xml:space="preserve">prin acela de </w:t>
      </w:r>
      <w:r w:rsidRPr="00D25ACA">
        <w:rPr>
          <w:i/>
          <w:iCs/>
          <w:sz w:val="24"/>
          <w:szCs w:val="24"/>
        </w:rPr>
        <w:t>chair</w:t>
      </w:r>
      <w:r w:rsidRPr="00D25ACA">
        <w:rPr>
          <w:sz w:val="24"/>
          <w:szCs w:val="24"/>
        </w:rPr>
        <w:t xml:space="preserve">, care trimite către sensurile complete ale noţiunii „trup”. Astfel, Michael Henry observă monopolul iniţiat de către noţiunea „corp” în toate domeniile conducând la o dialectică materialistă, chiar şi în cele metafizice. Fenomenologul francez cartografiază fiinţa umană în: corpul subiectiv, interior şi corpul obiectiv, material. „Vom numi primul corp </w:t>
      </w:r>
      <w:r w:rsidRPr="00D25ACA">
        <w:rPr>
          <w:i/>
          <w:iCs/>
          <w:sz w:val="24"/>
          <w:szCs w:val="24"/>
        </w:rPr>
        <w:t>trup</w:t>
      </w:r>
      <w:r w:rsidRPr="00D25ACA">
        <w:rPr>
          <w:sz w:val="24"/>
          <w:szCs w:val="24"/>
        </w:rPr>
        <w:t xml:space="preserve"> [</w:t>
      </w:r>
      <w:r w:rsidRPr="00D25ACA">
        <w:rPr>
          <w:i/>
          <w:iCs/>
          <w:sz w:val="24"/>
          <w:szCs w:val="24"/>
        </w:rPr>
        <w:t>chair</w:t>
      </w:r>
      <w:r w:rsidRPr="00D25ACA">
        <w:rPr>
          <w:sz w:val="24"/>
          <w:szCs w:val="24"/>
        </w:rPr>
        <w:t xml:space="preserve">], rezervând celui de-al doilea numele de </w:t>
      </w:r>
      <w:r w:rsidRPr="00D25ACA">
        <w:rPr>
          <w:i/>
          <w:iCs/>
          <w:sz w:val="24"/>
          <w:szCs w:val="24"/>
        </w:rPr>
        <w:t>corp</w:t>
      </w:r>
      <w:r w:rsidRPr="00D25ACA">
        <w:rPr>
          <w:sz w:val="24"/>
          <w:szCs w:val="24"/>
        </w:rPr>
        <w:t xml:space="preserve"> [</w:t>
      </w:r>
      <w:r w:rsidRPr="00D25ACA">
        <w:rPr>
          <w:i/>
          <w:iCs/>
          <w:sz w:val="24"/>
          <w:szCs w:val="24"/>
        </w:rPr>
        <w:t>corps</w:t>
      </w:r>
      <w:r w:rsidRPr="00D25ACA">
        <w:rPr>
          <w:sz w:val="24"/>
          <w:szCs w:val="24"/>
        </w:rPr>
        <w:t xml:space="preserve">]. Fiindcă trupul nostru nu e nimic altceva decât </w:t>
      </w:r>
      <w:r w:rsidRPr="00D25ACA">
        <w:rPr>
          <w:i/>
          <w:iCs/>
          <w:sz w:val="24"/>
          <w:szCs w:val="24"/>
        </w:rPr>
        <w:t>ceea ce încercându-se, suferindu-se, suportându-se pe sine însuşi şi bucurându-se de sine însuşi potrivit unor impresii mereu renăscânde</w:t>
      </w:r>
      <w:r w:rsidRPr="00D25ACA">
        <w:rPr>
          <w:sz w:val="24"/>
          <w:szCs w:val="24"/>
        </w:rPr>
        <w:t xml:space="preserve">, este din acest motiv </w:t>
      </w:r>
      <w:r w:rsidRPr="00D25ACA">
        <w:rPr>
          <w:sz w:val="24"/>
          <w:szCs w:val="24"/>
        </w:rPr>
        <w:lastRenderedPageBreak/>
        <w:t>în măsură să simtă corpul care îi este exterior, să-l atingă, precum şi să fie atins de el. Fapt de care corpul exterior, corpul inert al universului material, e din principiu incapabil”</w:t>
      </w:r>
      <w:r w:rsidRPr="00D25ACA">
        <w:rPr>
          <w:rStyle w:val="FootnoteReference"/>
          <w:sz w:val="24"/>
          <w:szCs w:val="24"/>
        </w:rPr>
        <w:footnoteReference w:id="22"/>
      </w:r>
      <w:r w:rsidRPr="00D25ACA">
        <w:rPr>
          <w:sz w:val="24"/>
          <w:szCs w:val="24"/>
        </w:rPr>
        <w:t xml:space="preserve">. </w:t>
      </w:r>
    </w:p>
    <w:p w:rsidR="00887C51" w:rsidRPr="00D25ACA" w:rsidRDefault="00887C51" w:rsidP="00887C51">
      <w:pPr>
        <w:pStyle w:val="BodyText"/>
        <w:ind w:left="-180" w:right="-563"/>
        <w:rPr>
          <w:sz w:val="24"/>
          <w:szCs w:val="24"/>
        </w:rPr>
      </w:pPr>
      <w:r w:rsidRPr="00D25ACA">
        <w:rPr>
          <w:sz w:val="24"/>
          <w:szCs w:val="24"/>
        </w:rPr>
        <w:t xml:space="preserve">În acest sens, Sarah Coakley analizează practicile ascetice ale Bisericii Ortodoxe din care extrage un paradox: trupul ascetic e mai viguroase decât cel al laicului. „Ascetismul dacă este înţeles în mod corespunzător, este o luptă nu </w:t>
      </w:r>
      <w:r w:rsidRPr="00D25ACA">
        <w:rPr>
          <w:i/>
          <w:iCs/>
          <w:sz w:val="24"/>
          <w:szCs w:val="24"/>
        </w:rPr>
        <w:t>împotriva,</w:t>
      </w:r>
      <w:r w:rsidRPr="00D25ACA">
        <w:rPr>
          <w:sz w:val="24"/>
          <w:szCs w:val="24"/>
        </w:rPr>
        <w:t xml:space="preserve"> ci </w:t>
      </w:r>
      <w:r w:rsidRPr="00D25ACA">
        <w:rPr>
          <w:i/>
          <w:iCs/>
          <w:sz w:val="24"/>
          <w:szCs w:val="24"/>
        </w:rPr>
        <w:t>pentru</w:t>
      </w:r>
      <w:r w:rsidRPr="00D25ACA">
        <w:rPr>
          <w:sz w:val="24"/>
          <w:szCs w:val="24"/>
        </w:rPr>
        <w:t xml:space="preserve"> trup; în acest sens teologul ortodox rus Serghie Bulgakov (1871-1944) face următorul îndemn: </w:t>
      </w:r>
      <w:r w:rsidRPr="00D25ACA">
        <w:rPr>
          <w:color w:val="222222"/>
          <w:sz w:val="24"/>
          <w:szCs w:val="24"/>
          <w:shd w:val="clear" w:color="auto" w:fill="FFFFFF"/>
        </w:rPr>
        <w:t>«</w:t>
      </w:r>
      <w:r w:rsidRPr="00D25ACA">
        <w:rPr>
          <w:sz w:val="24"/>
          <w:szCs w:val="24"/>
        </w:rPr>
        <w:t>Ucide carnea pentru a căpăta trupul</w:t>
      </w:r>
      <w:r w:rsidRPr="00D25ACA">
        <w:rPr>
          <w:color w:val="222222"/>
          <w:sz w:val="24"/>
          <w:szCs w:val="24"/>
          <w:shd w:val="clear" w:color="auto" w:fill="FFFFFF"/>
        </w:rPr>
        <w:t>»”</w:t>
      </w:r>
      <w:r w:rsidRPr="00D25ACA">
        <w:rPr>
          <w:rStyle w:val="FootnoteReference"/>
          <w:sz w:val="24"/>
          <w:szCs w:val="24"/>
        </w:rPr>
        <w:footnoteReference w:id="23"/>
      </w:r>
      <w:r w:rsidRPr="00D25ACA">
        <w:rPr>
          <w:sz w:val="24"/>
          <w:szCs w:val="24"/>
        </w:rPr>
        <w:t>. Însă se remarcă o deosebire între „logositate” şi „corpul subiectiv” (</w:t>
      </w:r>
      <w:r w:rsidRPr="00D25ACA">
        <w:rPr>
          <w:i/>
          <w:iCs/>
          <w:sz w:val="24"/>
          <w:szCs w:val="24"/>
        </w:rPr>
        <w:t>chair</w:t>
      </w:r>
      <w:r w:rsidRPr="00D25ACA">
        <w:rPr>
          <w:sz w:val="24"/>
          <w:szCs w:val="24"/>
        </w:rPr>
        <w:t xml:space="preserve">), deosebire dată de istoria metafizică a mentalităţilor teologice din Răsărit (transcendent şi nedualist) şi din Apus (naturalist şi dualist). La limită, ambii termeni indică taina omului, însă pentru Sfântul Iustin Popovici, </w:t>
      </w:r>
      <w:r w:rsidRPr="00D25ACA">
        <w:rPr>
          <w:i/>
          <w:iCs/>
          <w:sz w:val="24"/>
          <w:szCs w:val="24"/>
        </w:rPr>
        <w:t>logositatea</w:t>
      </w:r>
      <w:r w:rsidRPr="00D25ACA">
        <w:rPr>
          <w:sz w:val="24"/>
          <w:szCs w:val="24"/>
        </w:rPr>
        <w:t xml:space="preserve"> este de natură transcendentă, în timp ce pentru Henry, </w:t>
      </w:r>
      <w:r w:rsidRPr="00D25ACA">
        <w:rPr>
          <w:i/>
          <w:iCs/>
          <w:sz w:val="24"/>
          <w:szCs w:val="24"/>
        </w:rPr>
        <w:t>corpul subiectiv</w:t>
      </w:r>
      <w:r w:rsidRPr="00D25ACA">
        <w:rPr>
          <w:sz w:val="24"/>
          <w:szCs w:val="24"/>
        </w:rPr>
        <w:t>, este de sorginte transcendentală - care trimite cu necesitate către transcendent - dar se menţine în categoriile imanentului autonom.</w:t>
      </w:r>
    </w:p>
    <w:p w:rsidR="00887C51" w:rsidRPr="00D25ACA" w:rsidRDefault="00887C51" w:rsidP="00887C51">
      <w:pPr>
        <w:pStyle w:val="BodyText"/>
        <w:ind w:left="-180" w:right="-563"/>
        <w:rPr>
          <w:color w:val="222222"/>
          <w:sz w:val="24"/>
          <w:szCs w:val="24"/>
          <w:shd w:val="clear" w:color="auto" w:fill="FFFFFF"/>
        </w:rPr>
      </w:pPr>
      <w:r w:rsidRPr="00D25ACA">
        <w:rPr>
          <w:sz w:val="24"/>
          <w:szCs w:val="24"/>
        </w:rPr>
        <w:t xml:space="preserve">José Ruiz Fernández preciza faptul că „Poziția fenomenologică pozitivă a lui </w:t>
      </w:r>
      <w:r w:rsidRPr="00D25ACA">
        <w:rPr>
          <w:sz w:val="24"/>
          <w:szCs w:val="24"/>
          <w:lang w:val="en-US"/>
        </w:rPr>
        <w:t xml:space="preserve">Michel Henry poate fi rezumată după cum urmează: există o formă originală și fundamentală de manifestare care subliniază posibilitatea transcendenței, anume, imanența. </w:t>
      </w:r>
      <w:r w:rsidRPr="00D25ACA">
        <w:rPr>
          <w:i/>
          <w:sz w:val="24"/>
          <w:szCs w:val="24"/>
          <w:lang w:val="en-US"/>
        </w:rPr>
        <w:t>Imanența</w:t>
      </w:r>
      <w:r w:rsidRPr="00D25ACA">
        <w:rPr>
          <w:sz w:val="24"/>
          <w:szCs w:val="24"/>
          <w:lang w:val="en-US"/>
        </w:rPr>
        <w:t xml:space="preserve"> este în gândirea lui</w:t>
      </w:r>
      <w:r w:rsidRPr="00D25ACA">
        <w:rPr>
          <w:i/>
          <w:sz w:val="24"/>
          <w:szCs w:val="24"/>
          <w:lang w:val="en-US"/>
        </w:rPr>
        <w:t xml:space="preserve"> </w:t>
      </w:r>
      <w:r w:rsidRPr="00D25ACA">
        <w:rPr>
          <w:sz w:val="24"/>
          <w:szCs w:val="24"/>
          <w:lang w:val="en-US"/>
        </w:rPr>
        <w:t xml:space="preserve">Michel Henry o formă </w:t>
      </w:r>
      <w:r w:rsidRPr="00D25ACA">
        <w:rPr>
          <w:i/>
          <w:sz w:val="24"/>
          <w:szCs w:val="24"/>
          <w:lang w:val="en-US"/>
        </w:rPr>
        <w:t>autonomă</w:t>
      </w:r>
      <w:r w:rsidRPr="00D25ACA">
        <w:rPr>
          <w:sz w:val="24"/>
          <w:szCs w:val="24"/>
          <w:lang w:val="en-US"/>
        </w:rPr>
        <w:t xml:space="preserve">  de manifestare  care trebuie să se manifeste; ceva ce este identic cu propria sa manifestare” </w:t>
      </w:r>
      <w:r w:rsidRPr="00D25ACA">
        <w:rPr>
          <w:rStyle w:val="FootnoteReference"/>
          <w:sz w:val="24"/>
          <w:szCs w:val="24"/>
          <w:shd w:val="clear" w:color="auto" w:fill="FFFFFF"/>
        </w:rPr>
        <w:footnoteReference w:id="24"/>
      </w:r>
      <w:r w:rsidRPr="00D25ACA">
        <w:rPr>
          <w:sz w:val="24"/>
          <w:szCs w:val="24"/>
          <w:shd w:val="clear" w:color="auto" w:fill="FFFFFF"/>
        </w:rPr>
        <w:t>.</w:t>
      </w:r>
      <w:r w:rsidRPr="00D25ACA">
        <w:rPr>
          <w:color w:val="00B0F0"/>
          <w:sz w:val="24"/>
          <w:szCs w:val="24"/>
          <w:shd w:val="clear" w:color="auto" w:fill="FFFFFF"/>
        </w:rPr>
        <w:t xml:space="preserve">  </w:t>
      </w:r>
    </w:p>
    <w:p w:rsidR="00887C51" w:rsidRPr="00D25ACA" w:rsidRDefault="00887C51" w:rsidP="00887C51">
      <w:pPr>
        <w:pStyle w:val="BodyText"/>
        <w:ind w:left="-180" w:right="-563"/>
        <w:rPr>
          <w:b/>
          <w:bCs/>
          <w:sz w:val="24"/>
          <w:szCs w:val="24"/>
        </w:rPr>
      </w:pPr>
      <w:r w:rsidRPr="00D25ACA">
        <w:rPr>
          <w:spacing w:val="-2"/>
          <w:sz w:val="24"/>
          <w:szCs w:val="24"/>
        </w:rPr>
        <w:t>Problematica henryiană poate fi dublată de istoriografia lui Peter Brown asupra trupului, începând cu creştinismul timpuriu, sau cu Sfântul Apostol Pavel, şi terminând cu Evul Mediu timpuriu, sau cu Sfântul Augustin. Printre conceptele sale cheie, care fac şi obiectul unor capitole, sunt „trupul şi cetatea”, „Biserica şi corpul” şi „trupul şi societatea” în care se întrevede o viziune naturalistă şi sumbră asupra realităţii trupului uman în relaţie cu dimensiunea spirituală a sufletului. Peter Brown este profund derutat de antinomia trupului în iconomia mântuirii omului, fapt pentru care opune vocaţia ascetică a creştinismului - un soi de sete a omului pentru un ideal platonic - condiţiei omului căsătorit. Abstinenţa şi maltratarea trupului în cadrul creştinismului occidental, spune acesta, a dus la convulsii în cadrul societăţii care a stârnit două tipuri de reacţii. Prima: cum se poate perpetua specia în cazul în care este propovăduită în masă fecioria, iar a doua: de-a lungul timpului slăbind idealul creştin al castităţii prin izolarea acestuia în mănăstiri, omul a reînceput să trădeze o accentuată preocupare asupra propriului corp</w:t>
      </w:r>
      <w:r w:rsidRPr="00D25ACA">
        <w:rPr>
          <w:rStyle w:val="FootnoteReference"/>
          <w:spacing w:val="-2"/>
          <w:sz w:val="24"/>
          <w:szCs w:val="24"/>
        </w:rPr>
        <w:footnoteReference w:id="25"/>
      </w:r>
      <w:r w:rsidRPr="00D25ACA">
        <w:rPr>
          <w:spacing w:val="-2"/>
          <w:sz w:val="24"/>
          <w:szCs w:val="24"/>
        </w:rPr>
        <w:t>. Incursiunea browniană se încheie cu faptul că acest ideal al castităţii a fost salvat de creştini prin reactualizarea tainei întrupării din Fecioara Maria, citând un text arhaic de origine coptă prin care se elogiază rolul fundamental al trupului în cadrul vieţii omeneşti</w:t>
      </w:r>
      <w:r w:rsidRPr="00D25ACA">
        <w:rPr>
          <w:rStyle w:val="FootnoteReference"/>
          <w:sz w:val="24"/>
          <w:szCs w:val="24"/>
          <w:shd w:val="clear" w:color="auto" w:fill="FFFFFF"/>
        </w:rPr>
        <w:footnoteReference w:id="26"/>
      </w:r>
      <w:r w:rsidRPr="00D25ACA">
        <w:rPr>
          <w:color w:val="222222"/>
          <w:sz w:val="24"/>
          <w:szCs w:val="24"/>
          <w:shd w:val="clear" w:color="auto" w:fill="FFFFFF"/>
        </w:rPr>
        <w:t xml:space="preserve">. </w:t>
      </w:r>
    </w:p>
    <w:p w:rsidR="00887C51" w:rsidRPr="00D25ACA" w:rsidRDefault="00887C51" w:rsidP="00887C51">
      <w:pPr>
        <w:pStyle w:val="BodyText"/>
        <w:ind w:left="-180" w:right="-563"/>
        <w:rPr>
          <w:sz w:val="24"/>
          <w:szCs w:val="24"/>
        </w:rPr>
      </w:pPr>
      <w:r w:rsidRPr="00D25ACA">
        <w:rPr>
          <w:sz w:val="24"/>
          <w:szCs w:val="24"/>
        </w:rPr>
        <w:t>În consecinţă, riscurile imanenţei sunt mai mult decât evidente în secolul nostru care dezvoltă în sânul creştinismului „o bioetică creştină fără transcendenţă”</w:t>
      </w:r>
      <w:r w:rsidRPr="00D25ACA">
        <w:rPr>
          <w:rStyle w:val="FootnoteReference"/>
          <w:sz w:val="24"/>
          <w:szCs w:val="24"/>
        </w:rPr>
        <w:footnoteReference w:id="27"/>
      </w:r>
      <w:r w:rsidRPr="00D25ACA">
        <w:rPr>
          <w:sz w:val="24"/>
          <w:szCs w:val="24"/>
        </w:rPr>
        <w:t>. Cu toate acestea, la Henry, problematica corporalităţii imanente rămâne suspendată într-o dualitate neprecizată, în schimb Olivier Clement o precizează atunci când vorbeşte despre „templul trupului: dacă omul este persoană şi natură, această natură comportă în sine o oarecare dualitate”</w:t>
      </w:r>
      <w:r w:rsidRPr="00D25ACA">
        <w:rPr>
          <w:rStyle w:val="FootnoteReference"/>
          <w:sz w:val="24"/>
          <w:szCs w:val="24"/>
        </w:rPr>
        <w:footnoteReference w:id="28"/>
      </w:r>
      <w:r w:rsidRPr="00D25ACA">
        <w:rPr>
          <w:sz w:val="24"/>
          <w:szCs w:val="24"/>
        </w:rPr>
        <w:t xml:space="preserve">.  </w:t>
      </w:r>
    </w:p>
    <w:p w:rsidR="00887C51" w:rsidRPr="00D25ACA" w:rsidRDefault="00887C51" w:rsidP="00887C51">
      <w:pPr>
        <w:pStyle w:val="BodyText"/>
        <w:ind w:left="-180" w:right="-563"/>
        <w:rPr>
          <w:b/>
          <w:i/>
          <w:sz w:val="24"/>
          <w:szCs w:val="24"/>
        </w:rPr>
      </w:pPr>
    </w:p>
    <w:p w:rsidR="00887C51" w:rsidRPr="00D25ACA" w:rsidRDefault="00887C51" w:rsidP="00887C51">
      <w:pPr>
        <w:pStyle w:val="BodyText"/>
        <w:ind w:left="-180" w:right="-563" w:firstLine="0"/>
        <w:rPr>
          <w:b/>
          <w:i/>
          <w:sz w:val="24"/>
          <w:szCs w:val="24"/>
        </w:rPr>
      </w:pPr>
      <w:r w:rsidRPr="00D25ACA">
        <w:rPr>
          <w:b/>
          <w:i/>
          <w:sz w:val="24"/>
          <w:szCs w:val="24"/>
        </w:rPr>
        <w:t xml:space="preserve">3.Omul – făptură unitară  </w:t>
      </w:r>
    </w:p>
    <w:p w:rsidR="00887C51" w:rsidRPr="00D25ACA" w:rsidRDefault="00887C51" w:rsidP="00887C51">
      <w:pPr>
        <w:pStyle w:val="BodyText"/>
        <w:ind w:left="-180" w:right="-563" w:firstLine="0"/>
        <w:rPr>
          <w:b/>
          <w:i/>
          <w:sz w:val="24"/>
          <w:szCs w:val="24"/>
        </w:rPr>
      </w:pPr>
    </w:p>
    <w:p w:rsidR="00887C51" w:rsidRPr="00D25ACA" w:rsidRDefault="00887C51" w:rsidP="00887C51">
      <w:pPr>
        <w:pStyle w:val="BodyText"/>
        <w:ind w:left="-180" w:right="-563"/>
        <w:rPr>
          <w:sz w:val="24"/>
          <w:szCs w:val="24"/>
        </w:rPr>
      </w:pPr>
      <w:r w:rsidRPr="00D25ACA">
        <w:rPr>
          <w:spacing w:val="-2"/>
          <w:sz w:val="24"/>
          <w:szCs w:val="24"/>
        </w:rPr>
        <w:lastRenderedPageBreak/>
        <w:t xml:space="preserve">În viziunea Părinţilor Bisericii, Vechiul Testament este pedagog al Noului Testament, aşadar vechea concepţie holistică asupra omului nu este contrazisă, ci lărgită doar, după cum observăm şi în exegeza lui Jean Claude Larchet cu privire la relaţia dintre Iov şi Dumnezeu, în care cel dintâi pătimeşte integral, adică la nivelul trupului şi al sufletului: </w:t>
      </w:r>
      <w:r w:rsidRPr="00D25ACA">
        <w:rPr>
          <w:sz w:val="24"/>
          <w:szCs w:val="24"/>
        </w:rPr>
        <w:t>„Job is stricken by an illness that crushes his body and soul”</w:t>
      </w:r>
      <w:r w:rsidRPr="00D25ACA">
        <w:rPr>
          <w:rStyle w:val="FootnoteReference"/>
          <w:sz w:val="24"/>
          <w:szCs w:val="24"/>
        </w:rPr>
        <w:footnoteReference w:id="29"/>
      </w:r>
      <w:r w:rsidRPr="00D25ACA">
        <w:rPr>
          <w:sz w:val="24"/>
          <w:szCs w:val="24"/>
        </w:rPr>
        <w:t xml:space="preserve">. Dincolo de tribulaţiile, de ordin terminologic, în care găsim trupul ca subiect şi corpul ca obiect se impune o inventariere şi a relaţiei dintre suflet şi trup. </w:t>
      </w:r>
      <w:r w:rsidRPr="00D25ACA">
        <w:rPr>
          <w:sz w:val="24"/>
          <w:szCs w:val="24"/>
          <w:lang w:val="it-IT"/>
        </w:rPr>
        <w:t xml:space="preserve">In acest sens, </w:t>
      </w:r>
      <w:r w:rsidRPr="00D25ACA">
        <w:rPr>
          <w:sz w:val="24"/>
          <w:szCs w:val="24"/>
        </w:rPr>
        <w:t>o foarte bună sinteză a antropologiei vetero-testamentare o datorăm lui Marius Lazurca</w:t>
      </w:r>
      <w:r w:rsidRPr="00D25ACA">
        <w:rPr>
          <w:rStyle w:val="FootnoteReference"/>
          <w:sz w:val="24"/>
          <w:szCs w:val="24"/>
        </w:rPr>
        <w:footnoteReference w:id="30"/>
      </w:r>
      <w:r w:rsidRPr="00D25ACA">
        <w:rPr>
          <w:sz w:val="24"/>
          <w:szCs w:val="24"/>
        </w:rPr>
        <w:t>, care afirmă că omul aparţine funciar atât lumii terestre cât şi celei celeste, dar trebuie să se înscrie într-o necurmată mişcare ascendentă. Dar în nici un caz nu se ajunge la o concepţie depreciativă despre corporalitate, nici la un dualism de origine iudaică, alături de cel platonician. Comentatorii Legii se refuză unor distincţii atât de nete între trup şi suflet: un argument semni</w:t>
      </w:r>
      <w:r w:rsidRPr="00D25ACA">
        <w:rPr>
          <w:sz w:val="24"/>
          <w:szCs w:val="24"/>
        </w:rPr>
        <w:softHyphen/>
        <w:t xml:space="preserve">ficativ este faptul că termenul desemnând trupul – </w:t>
      </w:r>
      <w:r w:rsidRPr="00D25ACA">
        <w:rPr>
          <w:i/>
          <w:iCs/>
          <w:sz w:val="24"/>
          <w:szCs w:val="24"/>
        </w:rPr>
        <w:t xml:space="preserve">basar </w:t>
      </w:r>
      <w:r w:rsidRPr="00D25ACA">
        <w:rPr>
          <w:sz w:val="24"/>
          <w:szCs w:val="24"/>
        </w:rPr>
        <w:t xml:space="preserve">nu este niciodată înţeles separat de suflet – </w:t>
      </w:r>
      <w:r w:rsidRPr="00D25ACA">
        <w:rPr>
          <w:i/>
          <w:iCs/>
          <w:sz w:val="24"/>
          <w:szCs w:val="24"/>
        </w:rPr>
        <w:t>nephesh</w:t>
      </w:r>
      <w:r w:rsidRPr="00D25ACA">
        <w:rPr>
          <w:rStyle w:val="FootnoteReference"/>
          <w:sz w:val="24"/>
          <w:szCs w:val="24"/>
        </w:rPr>
        <w:footnoteReference w:id="31"/>
      </w:r>
      <w:r w:rsidRPr="00D25ACA">
        <w:rPr>
          <w:sz w:val="24"/>
          <w:szCs w:val="24"/>
        </w:rPr>
        <w:t>, nici măcar teoretic. Trupul trebuie înţeles ca o manifestare concretă a sufletului, un fenomen al acestuia; aceasta face ca trupul să poată conduce către o anumită “vizibilitate”, către o anumită con</w:t>
      </w:r>
      <w:r w:rsidRPr="00D25ACA">
        <w:rPr>
          <w:sz w:val="24"/>
          <w:szCs w:val="24"/>
        </w:rPr>
        <w:softHyphen/>
        <w:t xml:space="preserve">creteţe a sufletului. Această riguroasă interdependenţă între trup şi suflet trimite la </w:t>
      </w:r>
      <w:r w:rsidRPr="00D25ACA">
        <w:rPr>
          <w:i/>
          <w:sz w:val="24"/>
          <w:szCs w:val="24"/>
        </w:rPr>
        <w:t>o viziune absolut pozitivă despre trupul omenesc</w:t>
      </w:r>
      <w:r w:rsidRPr="00D25ACA">
        <w:rPr>
          <w:sz w:val="24"/>
          <w:szCs w:val="24"/>
        </w:rPr>
        <w:t xml:space="preserve">. Trupul, spun rabinii, este partea cea mai desăvârşită a creaţiei, este capodopera Creatorului. În primul rând, corpul este un </w:t>
      </w:r>
      <w:r w:rsidRPr="00D25ACA">
        <w:rPr>
          <w:i/>
          <w:iCs/>
          <w:sz w:val="24"/>
          <w:szCs w:val="24"/>
        </w:rPr>
        <w:t>chip</w:t>
      </w:r>
      <w:r w:rsidRPr="00D25ACA">
        <w:rPr>
          <w:sz w:val="24"/>
          <w:szCs w:val="24"/>
        </w:rPr>
        <w:t xml:space="preserve"> al universului întreg, </w:t>
      </w:r>
      <w:r w:rsidRPr="00D25ACA">
        <w:rPr>
          <w:bCs/>
          <w:i/>
          <w:sz w:val="24"/>
          <w:szCs w:val="24"/>
        </w:rPr>
        <w:t>Talmudul</w:t>
      </w:r>
      <w:r w:rsidRPr="00D25ACA">
        <w:rPr>
          <w:sz w:val="24"/>
          <w:szCs w:val="24"/>
        </w:rPr>
        <w:t xml:space="preserve"> propunând un amănunţit sistem de corespondenţe între părţile corpului şi componentele Universului creat. În al doilea rând, înţelepţii talmudişti insistă asupra perfectei </w:t>
      </w:r>
      <w:r w:rsidRPr="00D25ACA">
        <w:rPr>
          <w:i/>
          <w:iCs/>
          <w:sz w:val="24"/>
          <w:szCs w:val="24"/>
        </w:rPr>
        <w:t xml:space="preserve">inserţii </w:t>
      </w:r>
      <w:r w:rsidRPr="00D25ACA">
        <w:rPr>
          <w:sz w:val="24"/>
          <w:szCs w:val="24"/>
        </w:rPr>
        <w:t>a trupului în Univers, asupra capa</w:t>
      </w:r>
      <w:r w:rsidRPr="00D25ACA">
        <w:rPr>
          <w:sz w:val="24"/>
          <w:szCs w:val="24"/>
        </w:rPr>
        <w:softHyphen/>
        <w:t>cităţii sale de adaptare şi asupra armoniei funcţiilor sale</w:t>
      </w:r>
      <w:r w:rsidRPr="00D25ACA">
        <w:rPr>
          <w:rStyle w:val="FootnoteReference"/>
          <w:sz w:val="24"/>
          <w:szCs w:val="24"/>
        </w:rPr>
        <w:footnoteReference w:id="32"/>
      </w:r>
      <w:r w:rsidRPr="00D25ACA">
        <w:rPr>
          <w:sz w:val="24"/>
          <w:szCs w:val="24"/>
        </w:rPr>
        <w:t>. Marius Lazurca atrage însă atenţia asupra faptului că unele texte vetero-tes</w:t>
      </w:r>
      <w:r w:rsidRPr="00D25ACA">
        <w:rPr>
          <w:sz w:val="24"/>
          <w:szCs w:val="24"/>
        </w:rPr>
        <w:softHyphen/>
        <w:t>tamentare au fost redactate într-un climat dominat de cultura elenistică. De aceea exegeţii vorbesc despre existenţa a două antropologii de sorginte vetero-testamentară: cea dintâi, fidelă spiritului originar al iuda</w:t>
      </w:r>
      <w:r w:rsidRPr="00D25ACA">
        <w:rPr>
          <w:sz w:val="24"/>
          <w:szCs w:val="24"/>
        </w:rPr>
        <w:softHyphen/>
        <w:t xml:space="preserve">ismului, propune, mai ales prin intermediul hermeneuticii talmudice, o imagine pozitivă asupra corporalităţii; cea de a doua, marcată de ideile fundamentale ale antropologiei elenistice, insistă asupra distanţei de neconciliat dintre suflet şi trup. În </w:t>
      </w:r>
      <w:r w:rsidRPr="00D25ACA">
        <w:rPr>
          <w:bCs/>
          <w:i/>
          <w:sz w:val="24"/>
          <w:szCs w:val="24"/>
        </w:rPr>
        <w:t>Înţelepciunea lui Solomon</w:t>
      </w:r>
      <w:r w:rsidRPr="00D25ACA">
        <w:rPr>
          <w:sz w:val="24"/>
          <w:szCs w:val="24"/>
        </w:rPr>
        <w:t xml:space="preserve">, text redactat între 100 şi 50 î.d. Hr. la Alexandria, semnele acestei influenţe sunt vizibile, fără însă ca ea să devină dominantă pentru ansamblul antropologiei iudaice. Oricum, sublinia Olivier Clément, deosebirea biblică dintre </w:t>
      </w:r>
      <w:r w:rsidRPr="00D25ACA">
        <w:rPr>
          <w:i/>
          <w:iCs/>
          <w:sz w:val="24"/>
          <w:szCs w:val="24"/>
        </w:rPr>
        <w:t>trup</w:t>
      </w:r>
      <w:r w:rsidRPr="00D25ACA">
        <w:rPr>
          <w:sz w:val="24"/>
          <w:szCs w:val="24"/>
        </w:rPr>
        <w:t xml:space="preserve"> şi </w:t>
      </w:r>
      <w:r w:rsidRPr="00D25ACA">
        <w:rPr>
          <w:i/>
          <w:iCs/>
          <w:sz w:val="24"/>
          <w:szCs w:val="24"/>
        </w:rPr>
        <w:t>duh</w:t>
      </w:r>
      <w:r w:rsidRPr="00D25ACA">
        <w:rPr>
          <w:sz w:val="24"/>
          <w:szCs w:val="24"/>
        </w:rPr>
        <w:t xml:space="preserve"> nu are nici o legătură cu dihotomia elenistică dintre </w:t>
      </w:r>
      <w:r w:rsidRPr="00D25ACA">
        <w:rPr>
          <w:i/>
          <w:iCs/>
          <w:sz w:val="24"/>
          <w:szCs w:val="24"/>
        </w:rPr>
        <w:t>suflet</w:t>
      </w:r>
      <w:r w:rsidRPr="00D25ACA">
        <w:rPr>
          <w:sz w:val="24"/>
          <w:szCs w:val="24"/>
        </w:rPr>
        <w:t xml:space="preserve"> şi </w:t>
      </w:r>
      <w:r w:rsidRPr="00D25ACA">
        <w:rPr>
          <w:i/>
          <w:iCs/>
          <w:sz w:val="24"/>
          <w:szCs w:val="24"/>
        </w:rPr>
        <w:t>corp</w:t>
      </w:r>
      <w:r w:rsidRPr="00D25ACA">
        <w:rPr>
          <w:sz w:val="24"/>
          <w:szCs w:val="24"/>
        </w:rPr>
        <w:t xml:space="preserve"> în pofida nenumăratelor confuzii istorice care au făcut adesea din creştinism un “platonism pentru popor”</w:t>
      </w:r>
      <w:r w:rsidRPr="00D25ACA">
        <w:rPr>
          <w:rStyle w:val="FootnoteReference"/>
          <w:sz w:val="24"/>
          <w:szCs w:val="24"/>
        </w:rPr>
        <w:footnoteReference w:id="33"/>
      </w:r>
      <w:r w:rsidRPr="00D25ACA">
        <w:rPr>
          <w:sz w:val="24"/>
          <w:szCs w:val="24"/>
        </w:rPr>
        <w:t xml:space="preserve">. </w:t>
      </w:r>
    </w:p>
    <w:p w:rsidR="00887C51" w:rsidRPr="00D25ACA" w:rsidRDefault="00887C51" w:rsidP="00887C51">
      <w:pPr>
        <w:pStyle w:val="BodyText"/>
        <w:ind w:left="-180" w:right="-563"/>
        <w:rPr>
          <w:sz w:val="24"/>
          <w:szCs w:val="24"/>
        </w:rPr>
      </w:pPr>
      <w:r w:rsidRPr="00D25ACA">
        <w:rPr>
          <w:sz w:val="24"/>
          <w:szCs w:val="24"/>
        </w:rPr>
        <w:t xml:space="preserve">În concluzie, antropologia biblică refuză sistematic dualismul. Trupul omului este </w:t>
      </w:r>
      <w:r w:rsidRPr="00D25ACA">
        <w:rPr>
          <w:i/>
          <w:iCs/>
          <w:sz w:val="24"/>
          <w:szCs w:val="24"/>
        </w:rPr>
        <w:t>însufleţit</w:t>
      </w:r>
      <w:r w:rsidRPr="00D25ACA">
        <w:rPr>
          <w:sz w:val="24"/>
          <w:szCs w:val="24"/>
        </w:rPr>
        <w:t xml:space="preserve">, iar sufletul este </w:t>
      </w:r>
      <w:r w:rsidRPr="00D25ACA">
        <w:rPr>
          <w:i/>
          <w:iCs/>
          <w:sz w:val="24"/>
          <w:szCs w:val="24"/>
        </w:rPr>
        <w:t>întrupat</w:t>
      </w:r>
      <w:r w:rsidRPr="00D25ACA">
        <w:rPr>
          <w:sz w:val="24"/>
          <w:szCs w:val="24"/>
        </w:rPr>
        <w:t>, soteriologia nu este înţeleasă ca o radicală ruptură faţă de trup, ci mai degrabă ca o bună armonizare a ra</w:t>
      </w:r>
      <w:r w:rsidRPr="00D25ACA">
        <w:rPr>
          <w:sz w:val="24"/>
          <w:szCs w:val="24"/>
        </w:rPr>
        <w:softHyphen/>
        <w:t>porturilor lor</w:t>
      </w:r>
      <w:r w:rsidRPr="00D25ACA">
        <w:rPr>
          <w:rStyle w:val="FootnoteReference"/>
          <w:sz w:val="24"/>
          <w:szCs w:val="24"/>
        </w:rPr>
        <w:footnoteReference w:id="34"/>
      </w:r>
      <w:r w:rsidRPr="00D25ACA">
        <w:rPr>
          <w:sz w:val="24"/>
          <w:szCs w:val="24"/>
        </w:rPr>
        <w:t>.</w:t>
      </w:r>
    </w:p>
    <w:p w:rsidR="00887C51" w:rsidRPr="00D25ACA" w:rsidRDefault="00887C51" w:rsidP="00887C51">
      <w:pPr>
        <w:pStyle w:val="BodyText"/>
        <w:widowControl/>
        <w:ind w:left="-180" w:right="-563"/>
        <w:rPr>
          <w:sz w:val="24"/>
          <w:szCs w:val="24"/>
        </w:rPr>
      </w:pPr>
      <w:r w:rsidRPr="00D25ACA">
        <w:rPr>
          <w:sz w:val="24"/>
          <w:szCs w:val="24"/>
        </w:rPr>
        <w:t>Alte precizări terminologice relevante pentru a reuşi corecta</w:t>
      </w:r>
      <w:r w:rsidRPr="00D25ACA">
        <w:rPr>
          <w:sz w:val="24"/>
          <w:szCs w:val="24"/>
        </w:rPr>
        <w:softHyphen/>
        <w:t>rea, nu doar a unor expresii de sorginte platonic-origeniste, ci chiar învăţături şi mentalităţi aferente, ne oferă Claude Tresmontant. El afirmă că poporul evreu a creat o cultură a cărei structură noetică este “cu totul originală”, iar “origina</w:t>
      </w:r>
      <w:r w:rsidRPr="00D25ACA">
        <w:rPr>
          <w:sz w:val="24"/>
          <w:szCs w:val="24"/>
        </w:rPr>
        <w:softHyphen/>
        <w:t>litatea acestei gândiri numai într-o mică măsură a fost luată în considerare în Occidentul nostru dominat de cultura greacă şi latină”</w:t>
      </w:r>
      <w:r w:rsidRPr="00D25ACA">
        <w:rPr>
          <w:rStyle w:val="FootnoteReference"/>
          <w:sz w:val="24"/>
          <w:szCs w:val="24"/>
        </w:rPr>
        <w:footnoteReference w:id="35"/>
      </w:r>
      <w:r w:rsidRPr="00D25ACA">
        <w:rPr>
          <w:sz w:val="24"/>
          <w:szCs w:val="24"/>
        </w:rPr>
        <w:t>. Îndepărtarea de spiritul scripturistic a dus la formarea, în Occident, a unei mentalităţi antro</w:t>
      </w:r>
      <w:r w:rsidRPr="00D25ACA">
        <w:rPr>
          <w:sz w:val="24"/>
          <w:szCs w:val="24"/>
        </w:rPr>
        <w:softHyphen/>
        <w:t>pologice de tip platonic şi neoplatonic, cu excepţia aristote</w:t>
      </w:r>
      <w:r w:rsidRPr="00D25ACA">
        <w:rPr>
          <w:sz w:val="24"/>
          <w:szCs w:val="24"/>
        </w:rPr>
        <w:softHyphen/>
        <w:t xml:space="preserve">lienilor secolului al XIII-lea. </w:t>
      </w:r>
      <w:r w:rsidRPr="00D25ACA">
        <w:rPr>
          <w:sz w:val="24"/>
          <w:szCs w:val="24"/>
        </w:rPr>
        <w:lastRenderedPageBreak/>
        <w:t xml:space="preserve">Devierea se explică prin faptul că atunci când s-au tradus cărţile </w:t>
      </w:r>
      <w:r w:rsidRPr="00D25ACA">
        <w:rPr>
          <w:bCs/>
          <w:i/>
          <w:sz w:val="24"/>
          <w:szCs w:val="24"/>
        </w:rPr>
        <w:t>Vechiului Testament</w:t>
      </w:r>
      <w:r w:rsidRPr="00D25ACA">
        <w:rPr>
          <w:sz w:val="24"/>
          <w:szCs w:val="24"/>
        </w:rPr>
        <w:t xml:space="preserve"> din limba ebraică în limba greacă, cuvântul </w:t>
      </w:r>
      <w:r w:rsidRPr="00D25ACA">
        <w:rPr>
          <w:i/>
          <w:iCs/>
          <w:sz w:val="24"/>
          <w:szCs w:val="24"/>
        </w:rPr>
        <w:t>nephesh</w:t>
      </w:r>
      <w:r w:rsidRPr="00D25ACA">
        <w:rPr>
          <w:sz w:val="24"/>
          <w:szCs w:val="24"/>
        </w:rPr>
        <w:t>,</w:t>
      </w:r>
      <w:r w:rsidRPr="00D25ACA">
        <w:rPr>
          <w:i/>
          <w:iCs/>
          <w:sz w:val="24"/>
          <w:szCs w:val="24"/>
        </w:rPr>
        <w:t xml:space="preserve"> </w:t>
      </w:r>
      <w:r w:rsidRPr="00D25ACA">
        <w:rPr>
          <w:sz w:val="24"/>
          <w:szCs w:val="24"/>
        </w:rPr>
        <w:t xml:space="preserve">care desemnează în ebraică principiul de viaţă, a fost redat prin </w:t>
      </w:r>
      <w:r w:rsidRPr="00D25ACA">
        <w:rPr>
          <w:i/>
          <w:iCs/>
          <w:sz w:val="24"/>
          <w:szCs w:val="24"/>
        </w:rPr>
        <w:t>psyhe</w:t>
      </w:r>
      <w:r w:rsidRPr="00D25ACA">
        <w:rPr>
          <w:sz w:val="24"/>
          <w:szCs w:val="24"/>
        </w:rPr>
        <w:t xml:space="preserve">, iar în latină prin </w:t>
      </w:r>
      <w:r w:rsidRPr="00D25ACA">
        <w:rPr>
          <w:i/>
          <w:iCs/>
          <w:sz w:val="24"/>
          <w:szCs w:val="24"/>
        </w:rPr>
        <w:t>anima</w:t>
      </w:r>
      <w:r w:rsidRPr="00D25ACA">
        <w:rPr>
          <w:sz w:val="24"/>
          <w:szCs w:val="24"/>
        </w:rPr>
        <w:t xml:space="preserve">. Marea iluzie şi marea greşală constă în a ne imagina că se poate trece dintr-un univers de gândire la un altul doar prin faptul că s-a stabilit o corespondenţă lingvistică între termeni care, în realitate, nu au aceeaşi semnificaţie. Pentru că </w:t>
      </w:r>
      <w:r w:rsidRPr="00D25ACA">
        <w:rPr>
          <w:bCs/>
          <w:i/>
          <w:sz w:val="24"/>
          <w:szCs w:val="24"/>
        </w:rPr>
        <w:t>Biblia</w:t>
      </w:r>
      <w:r w:rsidRPr="00D25ACA">
        <w:rPr>
          <w:sz w:val="24"/>
          <w:szCs w:val="24"/>
        </w:rPr>
        <w:t xml:space="preserve"> ebraică </w:t>
      </w:r>
      <w:r w:rsidRPr="00D25ACA">
        <w:rPr>
          <w:spacing w:val="2"/>
          <w:sz w:val="24"/>
          <w:szCs w:val="24"/>
        </w:rPr>
        <w:t xml:space="preserve">are un termen care a fost tradus în greacă prin </w:t>
      </w:r>
      <w:r w:rsidRPr="00D25ACA">
        <w:rPr>
          <w:i/>
          <w:iCs/>
          <w:spacing w:val="2"/>
          <w:sz w:val="24"/>
          <w:szCs w:val="24"/>
        </w:rPr>
        <w:t>psyche</w:t>
      </w:r>
      <w:r w:rsidRPr="00D25ACA">
        <w:rPr>
          <w:spacing w:val="2"/>
          <w:sz w:val="24"/>
          <w:szCs w:val="24"/>
        </w:rPr>
        <w:t xml:space="preserve"> şi în latină prin </w:t>
      </w:r>
      <w:r w:rsidRPr="00D25ACA">
        <w:rPr>
          <w:i/>
          <w:iCs/>
          <w:spacing w:val="2"/>
          <w:sz w:val="24"/>
          <w:szCs w:val="24"/>
        </w:rPr>
        <w:t>anima</w:t>
      </w:r>
      <w:r w:rsidRPr="00D25ACA">
        <w:rPr>
          <w:spacing w:val="2"/>
          <w:sz w:val="24"/>
          <w:szCs w:val="24"/>
        </w:rPr>
        <w:t>, ne-</w:t>
      </w:r>
      <w:r w:rsidRPr="00D25ACA">
        <w:rPr>
          <w:sz w:val="24"/>
          <w:szCs w:val="24"/>
        </w:rPr>
        <w:t xml:space="preserve">am închipuit că se putea gândi despre ceea ce </w:t>
      </w:r>
      <w:r w:rsidRPr="00D25ACA">
        <w:rPr>
          <w:bCs/>
          <w:i/>
          <w:sz w:val="24"/>
          <w:szCs w:val="24"/>
        </w:rPr>
        <w:t>Biblia</w:t>
      </w:r>
      <w:r w:rsidRPr="00D25ACA">
        <w:rPr>
          <w:sz w:val="24"/>
          <w:szCs w:val="24"/>
        </w:rPr>
        <w:t xml:space="preserve"> numeşte </w:t>
      </w:r>
      <w:r w:rsidRPr="00D25ACA">
        <w:rPr>
          <w:i/>
          <w:iCs/>
          <w:sz w:val="24"/>
          <w:szCs w:val="24"/>
        </w:rPr>
        <w:t>suflet</w:t>
      </w:r>
      <w:r w:rsidRPr="00D25ACA">
        <w:rPr>
          <w:sz w:val="24"/>
          <w:szCs w:val="24"/>
        </w:rPr>
        <w:t xml:space="preserve"> ca despre ceea ce Platon, Plotin sau Descartes numesc </w:t>
      </w:r>
      <w:r w:rsidRPr="00D25ACA">
        <w:rPr>
          <w:i/>
          <w:sz w:val="24"/>
          <w:szCs w:val="24"/>
        </w:rPr>
        <w:t>suflet</w:t>
      </w:r>
      <w:r w:rsidRPr="00D25ACA">
        <w:rPr>
          <w:sz w:val="24"/>
          <w:szCs w:val="24"/>
        </w:rPr>
        <w:t>. Aici a fost greşeala. Sub identitatea termenului, în traduceri, diferenţele de conţinut sunt radicale. Într-adevăr, pe când în tradiţiile orfică, platonică şi neopla</w:t>
      </w:r>
      <w:r w:rsidRPr="00D25ACA">
        <w:rPr>
          <w:sz w:val="24"/>
          <w:szCs w:val="24"/>
        </w:rPr>
        <w:softHyphen/>
        <w:t xml:space="preserve">tonică sufletul este de natură divină şi nemuritor de drept, preexistând “corpului” în care “cade” ca într-o închisoare - de aici jocul de cuvinte </w:t>
      </w:r>
      <w:r w:rsidRPr="00D25ACA">
        <w:rPr>
          <w:i/>
          <w:sz w:val="24"/>
          <w:szCs w:val="24"/>
        </w:rPr>
        <w:t>soma</w:t>
      </w:r>
      <w:r w:rsidRPr="00D25ACA">
        <w:rPr>
          <w:sz w:val="24"/>
          <w:szCs w:val="24"/>
        </w:rPr>
        <w:t xml:space="preserve"> - </w:t>
      </w:r>
      <w:r w:rsidRPr="00D25ACA">
        <w:rPr>
          <w:i/>
          <w:sz w:val="24"/>
          <w:szCs w:val="24"/>
        </w:rPr>
        <w:t>sema</w:t>
      </w:r>
      <w:r w:rsidRPr="00D25ACA">
        <w:rPr>
          <w:sz w:val="24"/>
          <w:szCs w:val="24"/>
        </w:rPr>
        <w:t xml:space="preserve"> (închisoare, mormânt) - şi din care caută să se elibereze cât mai repede pentru a se întoarce la origine, în tradiţia ebraică sufletul este ontologic de o altă substanţă decât Dumnezeu care l-a creat, nefiind nici preexistent “corpului”</w:t>
      </w:r>
      <w:r w:rsidRPr="00D25ACA">
        <w:rPr>
          <w:rStyle w:val="FootnoteReference"/>
          <w:sz w:val="24"/>
          <w:szCs w:val="24"/>
        </w:rPr>
        <w:footnoteReference w:id="36"/>
      </w:r>
      <w:r w:rsidRPr="00D25ACA">
        <w:rPr>
          <w:sz w:val="24"/>
          <w:szCs w:val="24"/>
        </w:rPr>
        <w:t>.</w:t>
      </w:r>
    </w:p>
    <w:p w:rsidR="00887C51" w:rsidRPr="00D25ACA" w:rsidRDefault="00887C51" w:rsidP="00887C51">
      <w:pPr>
        <w:pStyle w:val="BodyText"/>
        <w:widowControl/>
        <w:ind w:left="-180" w:right="-563"/>
        <w:rPr>
          <w:sz w:val="24"/>
          <w:szCs w:val="24"/>
        </w:rPr>
      </w:pPr>
      <w:r w:rsidRPr="00D25ACA">
        <w:rPr>
          <w:sz w:val="24"/>
          <w:szCs w:val="24"/>
        </w:rPr>
        <w:t xml:space="preserve"> Ideea că existenţa sufletului în “corp” ar fi o nenorocire, consecinţa unei greşeli, este străină tradiţiei ebraice. De aceea, evreul nu are nici o idee de dualitate substanţială între „suflet”, pe de o parte, şi „corp”, pe de altă parte. În ebraică nu există nici un cuvânt pentru a desemna corpul în sensul în care Platon sau Descartes vorbesc de corp, o substanţă distinctă de suflet. Există un cuvânt pentru a desemna cadavrul, care nu mai este un corp. Confuzia dintre corp şi cadavru este eroarea carteziană</w:t>
      </w:r>
      <w:r w:rsidRPr="00D25ACA">
        <w:rPr>
          <w:rStyle w:val="FootnoteReference"/>
          <w:sz w:val="24"/>
          <w:szCs w:val="24"/>
        </w:rPr>
        <w:footnoteReference w:id="37"/>
      </w:r>
      <w:r w:rsidRPr="00D25ACA">
        <w:rPr>
          <w:sz w:val="24"/>
          <w:szCs w:val="24"/>
        </w:rPr>
        <w:t xml:space="preserve">. </w:t>
      </w:r>
    </w:p>
    <w:p w:rsidR="00887C51" w:rsidRPr="00D25ACA" w:rsidRDefault="00887C51" w:rsidP="00887C51">
      <w:pPr>
        <w:pStyle w:val="BodyText"/>
        <w:ind w:left="-180" w:right="-563"/>
        <w:rPr>
          <w:color w:val="FF0000"/>
          <w:sz w:val="24"/>
          <w:szCs w:val="24"/>
        </w:rPr>
      </w:pPr>
      <w:r w:rsidRPr="00D25ACA">
        <w:rPr>
          <w:sz w:val="24"/>
          <w:szCs w:val="24"/>
        </w:rPr>
        <w:t xml:space="preserve">O altă confuzie s-a produs prin traducerea cuvântului ebraic </w:t>
      </w:r>
      <w:r w:rsidRPr="00D25ACA">
        <w:rPr>
          <w:i/>
          <w:iCs/>
          <w:sz w:val="24"/>
          <w:szCs w:val="24"/>
        </w:rPr>
        <w:t>basar</w:t>
      </w:r>
      <w:r w:rsidRPr="00D25ACA">
        <w:rPr>
          <w:sz w:val="24"/>
          <w:szCs w:val="24"/>
        </w:rPr>
        <w:t xml:space="preserve"> prin </w:t>
      </w:r>
      <w:r w:rsidRPr="00D25ACA">
        <w:rPr>
          <w:i/>
          <w:iCs/>
          <w:sz w:val="24"/>
          <w:szCs w:val="24"/>
        </w:rPr>
        <w:t>sarx</w:t>
      </w:r>
      <w:r w:rsidRPr="00D25ACA">
        <w:rPr>
          <w:sz w:val="24"/>
          <w:szCs w:val="24"/>
        </w:rPr>
        <w:t xml:space="preserve">, în latină </w:t>
      </w:r>
      <w:r w:rsidRPr="00D25ACA">
        <w:rPr>
          <w:i/>
          <w:iCs/>
          <w:sz w:val="24"/>
          <w:szCs w:val="24"/>
        </w:rPr>
        <w:t>caro</w:t>
      </w:r>
      <w:r w:rsidRPr="00D25ACA">
        <w:rPr>
          <w:sz w:val="24"/>
          <w:szCs w:val="24"/>
        </w:rPr>
        <w:t xml:space="preserve">, în franceză </w:t>
      </w:r>
      <w:r w:rsidRPr="00D25ACA">
        <w:rPr>
          <w:i/>
          <w:iCs/>
          <w:sz w:val="24"/>
          <w:szCs w:val="24"/>
        </w:rPr>
        <w:t>chair</w:t>
      </w:r>
      <w:r w:rsidRPr="00D25ACA">
        <w:rPr>
          <w:sz w:val="24"/>
          <w:szCs w:val="24"/>
        </w:rPr>
        <w:t xml:space="preserve">. “În timp ce pentru francezul din secolul al XX-lea, </w:t>
      </w:r>
      <w:r w:rsidRPr="00D25ACA">
        <w:rPr>
          <w:i/>
          <w:iCs/>
          <w:sz w:val="24"/>
          <w:szCs w:val="24"/>
        </w:rPr>
        <w:t xml:space="preserve">chair </w:t>
      </w:r>
      <w:r w:rsidRPr="00D25ACA">
        <w:rPr>
          <w:sz w:val="24"/>
          <w:szCs w:val="24"/>
        </w:rPr>
        <w:t xml:space="preserve">înseamnă corpul mai ales ca izvor al patimilor, </w:t>
      </w:r>
      <w:r w:rsidRPr="00D25ACA">
        <w:rPr>
          <w:i/>
          <w:iCs/>
          <w:sz w:val="24"/>
          <w:szCs w:val="24"/>
        </w:rPr>
        <w:t>basar</w:t>
      </w:r>
      <w:r w:rsidRPr="00D25ACA">
        <w:rPr>
          <w:sz w:val="24"/>
          <w:szCs w:val="24"/>
        </w:rPr>
        <w:t xml:space="preserve"> desemnează totalitatea umană, omul viu, ceea ce în franceză este </w:t>
      </w:r>
      <w:r w:rsidRPr="00D25ACA">
        <w:rPr>
          <w:i/>
          <w:iCs/>
          <w:sz w:val="24"/>
          <w:szCs w:val="24"/>
        </w:rPr>
        <w:t>âme</w:t>
      </w:r>
      <w:r w:rsidRPr="00D25ACA">
        <w:rPr>
          <w:sz w:val="24"/>
          <w:szCs w:val="24"/>
        </w:rPr>
        <w:t xml:space="preserve"> şi </w:t>
      </w:r>
      <w:r w:rsidRPr="00D25ACA">
        <w:rPr>
          <w:i/>
          <w:iCs/>
          <w:sz w:val="24"/>
          <w:szCs w:val="24"/>
        </w:rPr>
        <w:t>corps</w:t>
      </w:r>
      <w:r w:rsidRPr="00D25ACA">
        <w:rPr>
          <w:sz w:val="24"/>
          <w:szCs w:val="24"/>
        </w:rPr>
        <w:t xml:space="preserve"> împreună”</w:t>
      </w:r>
      <w:r w:rsidRPr="00D25ACA">
        <w:rPr>
          <w:rStyle w:val="FootnoteReference"/>
          <w:sz w:val="24"/>
          <w:szCs w:val="24"/>
        </w:rPr>
        <w:footnoteReference w:id="38"/>
      </w:r>
      <w:r w:rsidRPr="00D25ACA">
        <w:rPr>
          <w:sz w:val="24"/>
          <w:szCs w:val="24"/>
        </w:rPr>
        <w:t>. O dovadă mai convingătoare că în tradiţia ebraică omul este înţeles ca o unitate psiho-somatică indisociabilă este aceea că “func</w:t>
      </w:r>
      <w:r w:rsidRPr="00D25ACA">
        <w:rPr>
          <w:sz w:val="24"/>
          <w:szCs w:val="24"/>
        </w:rPr>
        <w:softHyphen/>
        <w:t>ţiunile sau afec</w:t>
      </w:r>
      <w:r w:rsidRPr="00D25ACA">
        <w:rPr>
          <w:sz w:val="24"/>
          <w:szCs w:val="24"/>
        </w:rPr>
        <w:softHyphen/>
        <w:t xml:space="preserve">ţiunile care, într-o antropologie dualizantă, sunt atributele «corpului», în ebraică sunt atribute ale </w:t>
      </w:r>
      <w:r w:rsidRPr="00D25ACA">
        <w:rPr>
          <w:i/>
          <w:iCs/>
          <w:sz w:val="24"/>
          <w:szCs w:val="24"/>
        </w:rPr>
        <w:t>nefesh-</w:t>
      </w:r>
      <w:r w:rsidRPr="00D25ACA">
        <w:rPr>
          <w:sz w:val="24"/>
          <w:szCs w:val="24"/>
        </w:rPr>
        <w:t>ului: «</w:t>
      </w:r>
      <w:r w:rsidRPr="00D25ACA">
        <w:rPr>
          <w:i/>
          <w:iCs/>
          <w:sz w:val="24"/>
          <w:szCs w:val="24"/>
        </w:rPr>
        <w:t>Îi e foame sufletului meu</w:t>
      </w:r>
      <w:r w:rsidRPr="00D25ACA">
        <w:rPr>
          <w:sz w:val="24"/>
          <w:szCs w:val="24"/>
        </w:rPr>
        <w:t>» (</w:t>
      </w:r>
      <w:r w:rsidRPr="00D25ACA">
        <w:rPr>
          <w:bCs/>
          <w:sz w:val="24"/>
          <w:szCs w:val="24"/>
        </w:rPr>
        <w:t>Ps</w:t>
      </w:r>
      <w:r w:rsidRPr="00D25ACA">
        <w:rPr>
          <w:sz w:val="24"/>
          <w:szCs w:val="24"/>
        </w:rPr>
        <w:t>107, 9), «</w:t>
      </w:r>
      <w:r w:rsidRPr="00D25ACA">
        <w:rPr>
          <w:i/>
          <w:iCs/>
          <w:sz w:val="24"/>
          <w:szCs w:val="24"/>
        </w:rPr>
        <w:t>Îi e sete sufletului meu</w:t>
      </w:r>
      <w:r w:rsidRPr="00D25ACA">
        <w:rPr>
          <w:sz w:val="24"/>
          <w:szCs w:val="24"/>
        </w:rPr>
        <w:t>» (</w:t>
      </w:r>
      <w:r w:rsidRPr="00D25ACA">
        <w:rPr>
          <w:bCs/>
          <w:sz w:val="24"/>
          <w:szCs w:val="24"/>
        </w:rPr>
        <w:t>Prov</w:t>
      </w:r>
      <w:r w:rsidRPr="00D25ACA">
        <w:rPr>
          <w:sz w:val="24"/>
          <w:szCs w:val="24"/>
        </w:rPr>
        <w:t xml:space="preserve"> 25,25)</w:t>
      </w:r>
      <w:r w:rsidRPr="00D25ACA">
        <w:rPr>
          <w:rStyle w:val="FootnoteReference"/>
          <w:sz w:val="24"/>
          <w:szCs w:val="24"/>
        </w:rPr>
        <w:t xml:space="preserve"> </w:t>
      </w:r>
      <w:r w:rsidRPr="00D25ACA">
        <w:rPr>
          <w:sz w:val="24"/>
          <w:szCs w:val="24"/>
        </w:rPr>
        <w:t>. «</w:t>
      </w:r>
      <w:r w:rsidRPr="00D25ACA">
        <w:rPr>
          <w:i/>
          <w:iCs/>
          <w:sz w:val="24"/>
          <w:szCs w:val="24"/>
        </w:rPr>
        <w:t xml:space="preserve">Nephesch </w:t>
      </w:r>
      <w:r w:rsidRPr="00D25ACA">
        <w:rPr>
          <w:sz w:val="24"/>
          <w:szCs w:val="24"/>
        </w:rPr>
        <w:t xml:space="preserve">şi </w:t>
      </w:r>
      <w:r w:rsidRPr="00D25ACA">
        <w:rPr>
          <w:i/>
          <w:iCs/>
          <w:sz w:val="24"/>
          <w:szCs w:val="24"/>
        </w:rPr>
        <w:t>basar</w:t>
      </w:r>
      <w:r w:rsidRPr="00D25ACA">
        <w:rPr>
          <w:sz w:val="24"/>
          <w:szCs w:val="24"/>
        </w:rPr>
        <w:t xml:space="preserve"> nu sunt două lucruri, două substanţe diferite, ca </w:t>
      </w:r>
      <w:r w:rsidRPr="00D25ACA">
        <w:rPr>
          <w:i/>
          <w:iCs/>
          <w:sz w:val="24"/>
          <w:szCs w:val="24"/>
        </w:rPr>
        <w:t>psyché</w:t>
      </w:r>
      <w:r w:rsidRPr="00D25ACA">
        <w:rPr>
          <w:sz w:val="24"/>
          <w:szCs w:val="24"/>
        </w:rPr>
        <w:t xml:space="preserve"> şi </w:t>
      </w:r>
      <w:r w:rsidRPr="00D25ACA">
        <w:rPr>
          <w:i/>
          <w:iCs/>
          <w:sz w:val="24"/>
          <w:szCs w:val="24"/>
        </w:rPr>
        <w:t>soma</w:t>
      </w:r>
      <w:r w:rsidRPr="00D25ACA">
        <w:rPr>
          <w:sz w:val="24"/>
          <w:szCs w:val="24"/>
        </w:rPr>
        <w:t xml:space="preserve"> la Platon, ci două cuvinte pentru a desemna omul din punct de vedere al psihismului şi al organizaţiei sale psiho-biologice»”</w:t>
      </w:r>
      <w:r w:rsidRPr="00D25ACA">
        <w:rPr>
          <w:rStyle w:val="FootnoteReference"/>
          <w:sz w:val="24"/>
          <w:szCs w:val="24"/>
        </w:rPr>
        <w:footnoteReference w:id="39"/>
      </w:r>
      <w:r w:rsidRPr="00D25ACA">
        <w:rPr>
          <w:sz w:val="24"/>
          <w:szCs w:val="24"/>
        </w:rPr>
        <w:t>.</w:t>
      </w:r>
      <w:r w:rsidRPr="00D25ACA">
        <w:rPr>
          <w:color w:val="FF0000"/>
          <w:sz w:val="24"/>
          <w:szCs w:val="24"/>
        </w:rPr>
        <w:t xml:space="preserve">   </w:t>
      </w:r>
    </w:p>
    <w:p w:rsidR="00887C51" w:rsidRPr="00D25ACA" w:rsidRDefault="00887C51" w:rsidP="00887C51">
      <w:pPr>
        <w:pStyle w:val="BodyText"/>
        <w:ind w:left="-180" w:right="-563"/>
        <w:rPr>
          <w:sz w:val="24"/>
          <w:szCs w:val="24"/>
        </w:rPr>
      </w:pPr>
      <w:r w:rsidRPr="00D25ACA">
        <w:rPr>
          <w:sz w:val="24"/>
          <w:szCs w:val="24"/>
        </w:rPr>
        <w:t>Sfântul Ioan Evanghelistul a scris: “</w:t>
      </w:r>
      <w:r w:rsidRPr="00D25ACA">
        <w:rPr>
          <w:i/>
          <w:sz w:val="24"/>
          <w:szCs w:val="24"/>
        </w:rPr>
        <w:t>Cuvântul S-a făcut trup</w:t>
      </w:r>
      <w:r w:rsidRPr="00D25ACA">
        <w:rPr>
          <w:sz w:val="24"/>
          <w:szCs w:val="24"/>
        </w:rPr>
        <w:t>”</w:t>
      </w:r>
      <w:r w:rsidRPr="00D25ACA">
        <w:rPr>
          <w:i/>
          <w:sz w:val="24"/>
          <w:szCs w:val="24"/>
        </w:rPr>
        <w:t xml:space="preserve">, </w:t>
      </w:r>
      <w:r w:rsidRPr="00D25ACA">
        <w:rPr>
          <w:sz w:val="24"/>
          <w:szCs w:val="24"/>
        </w:rPr>
        <w:t xml:space="preserve"> în original </w:t>
      </w:r>
      <w:r w:rsidRPr="00D25ACA">
        <w:rPr>
          <w:i/>
          <w:iCs/>
          <w:sz w:val="24"/>
          <w:szCs w:val="24"/>
        </w:rPr>
        <w:t>sarx</w:t>
      </w:r>
      <w:r w:rsidRPr="00D25ACA">
        <w:rPr>
          <w:sz w:val="24"/>
          <w:szCs w:val="24"/>
        </w:rPr>
        <w:t xml:space="preserve"> şi nu </w:t>
      </w:r>
      <w:r w:rsidRPr="00D25ACA">
        <w:rPr>
          <w:i/>
          <w:iCs/>
          <w:sz w:val="24"/>
          <w:szCs w:val="24"/>
        </w:rPr>
        <w:t>soma</w:t>
      </w:r>
      <w:r w:rsidRPr="00D25ACA">
        <w:rPr>
          <w:sz w:val="24"/>
          <w:szCs w:val="24"/>
        </w:rPr>
        <w:t xml:space="preserve"> pentru a arăta limpede că </w:t>
      </w:r>
      <w:r w:rsidRPr="00D25ACA">
        <w:rPr>
          <w:i/>
          <w:iCs/>
          <w:sz w:val="24"/>
          <w:szCs w:val="24"/>
        </w:rPr>
        <w:t>Logos</w:t>
      </w:r>
      <w:r w:rsidRPr="00D25ACA">
        <w:rPr>
          <w:sz w:val="24"/>
          <w:szCs w:val="24"/>
        </w:rPr>
        <w:t>-ul Şi-a asumat natura umană întreagă (suflet – corp), potrivit concepţiei iudaice despre om. Misiunea Părinţilor de la primul, al treilea şi al patrulea s</w:t>
      </w:r>
      <w:r w:rsidRPr="00D25ACA">
        <w:rPr>
          <w:bCs/>
          <w:sz w:val="24"/>
          <w:szCs w:val="24"/>
        </w:rPr>
        <w:t>inod ecumenic,</w:t>
      </w:r>
      <w:r w:rsidRPr="00D25ACA">
        <w:rPr>
          <w:sz w:val="24"/>
          <w:szCs w:val="24"/>
        </w:rPr>
        <w:t xml:space="preserve"> a fost şi salvarea conţinutului gândirii biblice, căutând termenii adecvaţi acesteia în limba greacă: </w:t>
      </w:r>
      <w:r w:rsidRPr="00D25ACA">
        <w:rPr>
          <w:i/>
          <w:iCs/>
          <w:sz w:val="24"/>
          <w:szCs w:val="24"/>
        </w:rPr>
        <w:t>sarkothenta</w:t>
      </w:r>
      <w:r w:rsidRPr="00D25ACA">
        <w:rPr>
          <w:sz w:val="24"/>
          <w:szCs w:val="24"/>
        </w:rPr>
        <w:t xml:space="preserve">, </w:t>
      </w:r>
      <w:r w:rsidRPr="00D25ACA">
        <w:rPr>
          <w:i/>
          <w:iCs/>
          <w:sz w:val="24"/>
          <w:szCs w:val="24"/>
        </w:rPr>
        <w:t>enanthropesanta</w:t>
      </w:r>
      <w:r w:rsidRPr="00D25ACA">
        <w:rPr>
          <w:sz w:val="24"/>
          <w:szCs w:val="24"/>
        </w:rPr>
        <w:t xml:space="preserve"> ş.a. Prin urmare, Sfinţii Părinţi au evitat terminologia platonică şi neoplatonică, prezentă, din păcate, în mentalitatea occidentală.</w:t>
      </w:r>
    </w:p>
    <w:p w:rsidR="00887C51" w:rsidRPr="00D25ACA" w:rsidRDefault="00887C51" w:rsidP="00887C51">
      <w:pPr>
        <w:pStyle w:val="BodyText"/>
        <w:ind w:left="-180" w:right="-563"/>
        <w:rPr>
          <w:color w:val="0070C0"/>
          <w:sz w:val="24"/>
          <w:szCs w:val="24"/>
        </w:rPr>
      </w:pPr>
      <w:r w:rsidRPr="00D25ACA">
        <w:rPr>
          <w:sz w:val="24"/>
          <w:szCs w:val="24"/>
        </w:rPr>
        <w:t>Viziunea biblică holistică este prezentă şi în tradiţia siriacă. De fapt „ una dintre cele mai izbitoare caracteristici ale creștinătății antice siriace în toate formele sale este fizicalitatea sa intensă. (...) trupul suscită mult interes pentru religie în această regiune, și este un prim instrument pentru exprimarea religioasă (...). În toată spiritualitatea Orientului Sirian (...) se poate găsi  o conștientizare sporită a experienței senzoriale, a exprimării fizice, a cunoașterii trupești, a faptului de a fi în trup ca mediu în care și prin care are loc întâlnirea dintre omenesc și dumnezeiesc”</w:t>
      </w:r>
      <w:r w:rsidRPr="00D25ACA">
        <w:rPr>
          <w:rStyle w:val="FootnoteReference"/>
          <w:sz w:val="24"/>
          <w:szCs w:val="24"/>
        </w:rPr>
        <w:footnoteReference w:id="40"/>
      </w:r>
      <w:r w:rsidRPr="00D25ACA">
        <w:rPr>
          <w:sz w:val="24"/>
          <w:szCs w:val="24"/>
        </w:rPr>
        <w:t xml:space="preserve">. De aceea „în centrul creștinătății siriace timpurii stă o înțelegere clară a  « unității » persoanei umane, o unitate a trupului și a sufletului, </w:t>
      </w:r>
      <w:r w:rsidRPr="00D25ACA">
        <w:rPr>
          <w:sz w:val="24"/>
          <w:szCs w:val="24"/>
        </w:rPr>
        <w:lastRenderedPageBreak/>
        <w:t>în care cele trupești și cele spirituale sunt esențiale în mod reciproc în relația cu Dumnezeu, având sens doar împreună. Sfântul Efrem se minunează și exclamă:  «Sufletul este mireasa Ta, iar trupul cămara de nuntă». (...) Scriitorii siriaci prezintă o viziune eshatologică în mod concret de natură fizică, trăită în termeni trupești”</w:t>
      </w:r>
      <w:r w:rsidRPr="00D25ACA">
        <w:rPr>
          <w:rStyle w:val="FootnoteReference"/>
          <w:sz w:val="24"/>
          <w:szCs w:val="24"/>
        </w:rPr>
        <w:footnoteReference w:id="41"/>
      </w:r>
      <w:r w:rsidRPr="00D25ACA">
        <w:rPr>
          <w:sz w:val="24"/>
          <w:szCs w:val="24"/>
        </w:rPr>
        <w:t>. Separarea dintre trup și suflet, adică moartea, este modul cum experiem și cunoaștem starea noastră căzută. Trupul este locul unde are loc mântuirea și instrumentul prin care se realizează.  În sfârșit, „trupul schimbat din eshaton va rămâne trupul în care și prin care Îl cunoaștem pe Dumnezeu – și în eshaton, a-L cunoaște pe Dumnezeu va reprezenta întreaga sumă a vieții noastre. Trupul îndeplinește un rol epistemologic /theognosic: este mediul prin care le întâlnim mai întâi pe cele dumnezeiești, și oferă o cunoaștere a lui Dumnezeu prin acea întâlnire care nu poate fi dobândită prin nici un alt mod. În tradiția siriacă timpurie, faptul de a fi în trup este condiția care definește existența noastră în timp, și care o va defini și pe cea din eternitate”</w:t>
      </w:r>
      <w:r w:rsidRPr="00D25ACA">
        <w:rPr>
          <w:rStyle w:val="FootnoteReference"/>
          <w:sz w:val="24"/>
          <w:szCs w:val="24"/>
        </w:rPr>
        <w:footnoteReference w:id="42"/>
      </w:r>
      <w:r w:rsidRPr="00D25ACA">
        <w:rPr>
          <w:color w:val="0070C0"/>
          <w:sz w:val="24"/>
          <w:szCs w:val="24"/>
        </w:rPr>
        <w:t xml:space="preserve">. </w:t>
      </w:r>
    </w:p>
    <w:p w:rsidR="00887C51" w:rsidRPr="00D25ACA" w:rsidRDefault="00887C51" w:rsidP="00887C51">
      <w:pPr>
        <w:pStyle w:val="BodyText"/>
        <w:ind w:left="-180" w:right="-563"/>
        <w:rPr>
          <w:sz w:val="24"/>
          <w:szCs w:val="24"/>
        </w:rPr>
      </w:pPr>
      <w:r w:rsidRPr="00D25ACA">
        <w:rPr>
          <w:sz w:val="24"/>
          <w:szCs w:val="24"/>
        </w:rPr>
        <w:t>Sebastian Brock, unul dintre cei mai mari specialişti în tradiţia siriacă, dedică o secţiune într-una din cărţile sale valorii trupului, precizând că: „Sfântul Efrem e departe de tendinţele platonice sau dualiste caracteristice anumitor curente din creştinismul primar, care căutau să denigreze valoarea trupului”</w:t>
      </w:r>
      <w:r w:rsidRPr="00D25ACA">
        <w:rPr>
          <w:rStyle w:val="FootnoteReference"/>
          <w:sz w:val="24"/>
          <w:szCs w:val="24"/>
        </w:rPr>
        <w:footnoteReference w:id="43"/>
      </w:r>
      <w:r w:rsidRPr="00D25ACA">
        <w:rPr>
          <w:sz w:val="24"/>
          <w:szCs w:val="24"/>
        </w:rPr>
        <w:t xml:space="preserve">. Trei ar fi consideraţiile principale cu privire la valoarea trupului: temeiul biblic din 1Co.6,19, Întruparea Fiului lui Dumnezeu şi Sfânta Euharistie. </w:t>
      </w:r>
    </w:p>
    <w:p w:rsidR="00887C51" w:rsidRPr="00D25ACA" w:rsidRDefault="00887C51" w:rsidP="00887C51">
      <w:pPr>
        <w:pStyle w:val="BodyText"/>
        <w:ind w:left="-180" w:right="-563"/>
        <w:rPr>
          <w:sz w:val="24"/>
          <w:szCs w:val="24"/>
        </w:rPr>
      </w:pPr>
      <w:r w:rsidRPr="00D25ACA">
        <w:rPr>
          <w:sz w:val="24"/>
          <w:szCs w:val="24"/>
        </w:rPr>
        <w:t xml:space="preserve">Sfântul Grigorie de Nyssa are, de asemenea o concepţie integratoare asupra fiinţei umane, fiind „departe de concepţia platonic-maniheică, după care </w:t>
      </w:r>
      <w:r w:rsidRPr="00D25ACA">
        <w:rPr>
          <w:i/>
          <w:sz w:val="24"/>
          <w:szCs w:val="24"/>
        </w:rPr>
        <w:t xml:space="preserve">trupul ar fi închisoarea sufletului. </w:t>
      </w:r>
      <w:r w:rsidRPr="00D25ACA">
        <w:rPr>
          <w:sz w:val="24"/>
          <w:szCs w:val="24"/>
        </w:rPr>
        <w:t>Dimpotrivă, sufletul este forţa activă care pătrunde elementele materiale şi le constituie într-un trup, făcând ca acesta să devină:trup omenesc”</w:t>
      </w:r>
      <w:r w:rsidRPr="00D25ACA">
        <w:rPr>
          <w:rStyle w:val="FootnoteReference"/>
          <w:sz w:val="24"/>
          <w:szCs w:val="24"/>
        </w:rPr>
        <w:footnoteReference w:id="44"/>
      </w:r>
      <w:r w:rsidRPr="00D25ACA">
        <w:rPr>
          <w:sz w:val="24"/>
          <w:szCs w:val="24"/>
        </w:rPr>
        <w:t>. Sufletul nu se află doar într-o parte a trupului, ci „într-un mod negrăit se uneşte deopotrivă cu fiecare parte a trupului”</w:t>
      </w:r>
      <w:r w:rsidRPr="00D25ACA">
        <w:rPr>
          <w:rStyle w:val="FootnoteReference"/>
          <w:sz w:val="24"/>
          <w:szCs w:val="24"/>
        </w:rPr>
        <w:footnoteReference w:id="45"/>
      </w:r>
      <w:r w:rsidRPr="00D25ACA">
        <w:rPr>
          <w:sz w:val="24"/>
          <w:szCs w:val="24"/>
        </w:rPr>
        <w:t xml:space="preserve">. În trupul omenesc, materia, prin unirea cu sufletul, este subiectivată şi personalizată. Prin urmare „trupul omenesc are o mare importanţă în procesul de orientare a materiei în direcţia spiritului. În om </w:t>
      </w:r>
      <w:r w:rsidRPr="00D25ACA">
        <w:rPr>
          <w:i/>
          <w:sz w:val="24"/>
          <w:szCs w:val="24"/>
        </w:rPr>
        <w:t>pârga</w:t>
      </w:r>
      <w:r w:rsidRPr="00D25ACA">
        <w:rPr>
          <w:sz w:val="24"/>
          <w:szCs w:val="24"/>
        </w:rPr>
        <w:t xml:space="preserve"> luată din lumea materială este pătrunsă de spirit”</w:t>
      </w:r>
      <w:r w:rsidRPr="00D25ACA">
        <w:rPr>
          <w:rStyle w:val="FootnoteReference"/>
          <w:sz w:val="24"/>
          <w:szCs w:val="24"/>
        </w:rPr>
        <w:footnoteReference w:id="46"/>
      </w:r>
      <w:r w:rsidRPr="00D25ACA">
        <w:rPr>
          <w:sz w:val="24"/>
          <w:szCs w:val="24"/>
        </w:rPr>
        <w:t>.</w:t>
      </w:r>
    </w:p>
    <w:p w:rsidR="00887C51" w:rsidRPr="00D25ACA" w:rsidRDefault="00887C51" w:rsidP="00887C51">
      <w:pPr>
        <w:pStyle w:val="BodyText"/>
        <w:ind w:left="-180" w:right="-563"/>
        <w:rPr>
          <w:sz w:val="24"/>
          <w:szCs w:val="24"/>
        </w:rPr>
      </w:pPr>
      <w:r w:rsidRPr="00D25ACA">
        <w:rPr>
          <w:sz w:val="24"/>
          <w:szCs w:val="24"/>
        </w:rPr>
        <w:t>Tradiția ascetică a isihasmului are, de asemenea, o semnificație specială pentru modul în care înfățișează importanța trupului omenesc. Unul dintre punctele principale este contrastul dintre antropologia biblică „holistică” inerentă isihasmului și antropologia „dualistă” platonică și neoplatonică. Așa cum ne spune Inaltpreasfințitul Kallistos Ware, profesor la Oxford: „ O împărțire trup-suflet de tip platonic nu își are locul în tradiția creștină. Sfânta Scriptură prezintă persoana umană în termeni holistici”</w:t>
      </w:r>
      <w:r w:rsidRPr="00D25ACA">
        <w:rPr>
          <w:rStyle w:val="FootnoteReference"/>
          <w:sz w:val="24"/>
          <w:szCs w:val="24"/>
        </w:rPr>
        <w:footnoteReference w:id="47"/>
      </w:r>
      <w:r w:rsidRPr="00D25ACA">
        <w:rPr>
          <w:sz w:val="24"/>
          <w:szCs w:val="24"/>
        </w:rPr>
        <w:t xml:space="preserve">.  </w:t>
      </w:r>
    </w:p>
    <w:p w:rsidR="00887C51" w:rsidRPr="00D25ACA" w:rsidRDefault="00887C51" w:rsidP="00887C51">
      <w:pPr>
        <w:autoSpaceDE w:val="0"/>
        <w:autoSpaceDN w:val="0"/>
        <w:adjustRightInd w:val="0"/>
        <w:spacing w:after="0" w:line="240" w:lineRule="auto"/>
        <w:ind w:left="-180" w:right="-563" w:firstLine="810"/>
        <w:jc w:val="both"/>
        <w:rPr>
          <w:rFonts w:ascii="Times New Roman" w:hAnsi="Times New Roman"/>
          <w:color w:val="FF0000"/>
          <w:sz w:val="24"/>
          <w:szCs w:val="24"/>
        </w:rPr>
      </w:pPr>
      <w:r w:rsidRPr="00D25ACA">
        <w:rPr>
          <w:rFonts w:ascii="Times New Roman" w:hAnsi="Times New Roman"/>
          <w:sz w:val="24"/>
          <w:szCs w:val="24"/>
        </w:rPr>
        <w:t>Împortanța naturii noastre trupești este subliniată și într-o altă contribuție din valorosul volum editat la Balamand: „cheia înțelegerii rolului nostru în creație și a exprimării ei coerente este în natura noastră trupească. Ca și mulți alții în ziua de astăzi, teologii ortodocși adesea se opun vehement unei înțelegeri dualiste a fiin</w:t>
      </w:r>
      <w:r w:rsidRPr="00D25ACA">
        <w:rPr>
          <w:rFonts w:ascii="Times New Roman" w:hAnsi="Times New Roman"/>
          <w:sz w:val="24"/>
          <w:szCs w:val="24"/>
          <w:lang w:val="ro-RO"/>
        </w:rPr>
        <w:t>ței umane; aceștia accentuează trupul ca  «mod» de existență al persoanei</w:t>
      </w:r>
      <w:r w:rsidRPr="00D25ACA">
        <w:rPr>
          <w:rStyle w:val="FootnoteReference"/>
          <w:rFonts w:ascii="Times New Roman" w:hAnsi="Times New Roman"/>
          <w:sz w:val="24"/>
          <w:szCs w:val="24"/>
        </w:rPr>
        <w:footnoteReference w:id="48"/>
      </w:r>
      <w:r w:rsidRPr="00D25ACA">
        <w:rPr>
          <w:rFonts w:ascii="Times New Roman" w:hAnsi="Times New Roman"/>
          <w:sz w:val="24"/>
          <w:szCs w:val="24"/>
          <w:lang w:val="ro-RO"/>
        </w:rPr>
        <w:t xml:space="preserve">. Dar </w:t>
      </w:r>
      <w:r w:rsidRPr="00D25ACA">
        <w:rPr>
          <w:rFonts w:ascii="Times New Roman" w:hAnsi="Times New Roman"/>
          <w:sz w:val="24"/>
          <w:szCs w:val="24"/>
          <w:lang w:val="ro-RO"/>
        </w:rPr>
        <w:lastRenderedPageBreak/>
        <w:t>nu este vorba doar de o simplă afirmare a dimensiunilor autentice ale existenței umane: trupul are o semnificație cosmică</w:t>
      </w:r>
      <w:r w:rsidRPr="00D25ACA">
        <w:rPr>
          <w:rStyle w:val="FootnoteReference"/>
          <w:rFonts w:ascii="Times New Roman" w:hAnsi="Times New Roman"/>
          <w:sz w:val="24"/>
          <w:szCs w:val="24"/>
        </w:rPr>
        <w:footnoteReference w:id="49"/>
      </w:r>
      <w:r w:rsidRPr="00D25ACA">
        <w:rPr>
          <w:rStyle w:val="FootnoteReference"/>
          <w:rFonts w:ascii="Times New Roman" w:hAnsi="Times New Roman"/>
          <w:color w:val="0070C0"/>
          <w:sz w:val="24"/>
          <w:szCs w:val="24"/>
        </w:rPr>
        <w:t xml:space="preserve"> </w:t>
      </w:r>
      <w:r w:rsidRPr="00D25ACA">
        <w:rPr>
          <w:rFonts w:ascii="Times New Roman" w:hAnsi="Times New Roman"/>
          <w:color w:val="0070C0"/>
          <w:sz w:val="24"/>
          <w:szCs w:val="24"/>
          <w:lang w:val="ro-RO"/>
        </w:rPr>
        <w:t>.</w:t>
      </w:r>
      <w:r w:rsidRPr="00D25ACA">
        <w:rPr>
          <w:rFonts w:ascii="Times New Roman" w:hAnsi="Times New Roman"/>
          <w:b/>
          <w:i/>
          <w:color w:val="FF0000"/>
          <w:sz w:val="24"/>
          <w:szCs w:val="24"/>
          <w:u w:val="single"/>
        </w:rPr>
        <w:t xml:space="preserve"> </w:t>
      </w:r>
    </w:p>
    <w:p w:rsidR="00887C51" w:rsidRPr="00D25ACA" w:rsidRDefault="00887C51" w:rsidP="00887C51">
      <w:pPr>
        <w:pStyle w:val="c12"/>
        <w:spacing w:before="0" w:beforeAutospacing="0" w:after="0" w:afterAutospacing="0"/>
        <w:ind w:left="-180" w:right="-563" w:firstLine="567"/>
        <w:jc w:val="both"/>
        <w:rPr>
          <w:lang w:val="ro-RO"/>
        </w:rPr>
      </w:pPr>
      <w:r w:rsidRPr="00D25ACA">
        <w:rPr>
          <w:lang w:val="ro-RO"/>
        </w:rPr>
        <w:t>Această integralitate a omului este elocvent ierarhizată onto-teologal şi de către Cuviosul Nicolae Velimirovici în imnul LXXII:</w:t>
      </w:r>
    </w:p>
    <w:p w:rsidR="00887C51" w:rsidRPr="00D25ACA" w:rsidRDefault="00887C51" w:rsidP="00887C51">
      <w:pPr>
        <w:pStyle w:val="c12"/>
        <w:spacing w:before="0" w:beforeAutospacing="0" w:after="0" w:afterAutospacing="0"/>
        <w:ind w:left="-180" w:right="-563" w:firstLine="567"/>
        <w:jc w:val="both"/>
        <w:rPr>
          <w:lang w:val="ro-RO"/>
        </w:rPr>
      </w:pPr>
    </w:p>
    <w:p w:rsidR="00887C51" w:rsidRPr="00D25ACA" w:rsidRDefault="00887C51" w:rsidP="00887C51">
      <w:pPr>
        <w:pStyle w:val="c12"/>
        <w:spacing w:before="0" w:beforeAutospacing="0" w:after="0" w:afterAutospacing="0"/>
        <w:ind w:left="-180" w:right="-563" w:firstLine="567"/>
        <w:jc w:val="both"/>
        <w:rPr>
          <w:i/>
          <w:lang w:val="ro-RO"/>
        </w:rPr>
      </w:pPr>
      <w:r w:rsidRPr="00D25ACA">
        <w:rPr>
          <w:i/>
          <w:lang w:val="ro-RO"/>
        </w:rPr>
        <w:t>Izbăvește sufletul meu de amăgirea de sine, Dumnezeul meu, ca și trupul meu de trupescul păcat să se izbăvească.</w:t>
      </w:r>
    </w:p>
    <w:p w:rsidR="00887C51" w:rsidRPr="00D25ACA" w:rsidRDefault="00887C51" w:rsidP="00887C51">
      <w:pPr>
        <w:pStyle w:val="c12"/>
        <w:spacing w:before="0" w:beforeAutospacing="0" w:after="0" w:afterAutospacing="0"/>
        <w:ind w:left="-180" w:right="-563" w:firstLine="567"/>
        <w:jc w:val="both"/>
        <w:rPr>
          <w:i/>
          <w:lang w:val="ro-RO"/>
        </w:rPr>
      </w:pPr>
      <w:r w:rsidRPr="00D25ACA">
        <w:rPr>
          <w:i/>
          <w:lang w:val="ro-RO"/>
        </w:rPr>
        <w:t>Izbăvește sufletul meu de nebuna trufie și de arzătoarea mânie, și nu va înnebuni trupul meu, nici va arde.</w:t>
      </w:r>
    </w:p>
    <w:p w:rsidR="00887C51" w:rsidRPr="00D25ACA" w:rsidRDefault="00887C51" w:rsidP="00887C51">
      <w:pPr>
        <w:pStyle w:val="c12"/>
        <w:spacing w:before="0" w:beforeAutospacing="0" w:after="0" w:afterAutospacing="0"/>
        <w:ind w:left="-180" w:right="-563" w:firstLine="567"/>
        <w:jc w:val="both"/>
        <w:rPr>
          <w:lang w:val="ro-RO"/>
        </w:rPr>
      </w:pPr>
      <w:r w:rsidRPr="00D25ACA">
        <w:rPr>
          <w:i/>
          <w:lang w:val="ro-RO"/>
        </w:rPr>
        <w:t>Făcut-a sufletul din trup un fel de chip al său, organ al vorbirii sale l-a făcut pe dânsul. Mut și nemișcător este trupul și către bine, și către rău, dacă sufletul nu voiește să-i grăiască.</w:t>
      </w:r>
      <w:r w:rsidRPr="00D25ACA">
        <w:rPr>
          <w:lang w:val="ro-RO"/>
        </w:rPr>
        <w:t xml:space="preserve"> </w:t>
      </w:r>
    </w:p>
    <w:p w:rsidR="00887C51" w:rsidRPr="00D25ACA" w:rsidRDefault="00887C51" w:rsidP="00887C51">
      <w:pPr>
        <w:pStyle w:val="c12"/>
        <w:spacing w:before="0" w:beforeAutospacing="0" w:after="0" w:afterAutospacing="0"/>
        <w:ind w:left="-180" w:right="-563" w:firstLine="567"/>
        <w:jc w:val="both"/>
        <w:rPr>
          <w:spacing w:val="-2"/>
        </w:rPr>
      </w:pPr>
      <w:r w:rsidRPr="00D25ACA">
        <w:rPr>
          <w:i/>
          <w:lang w:val="ro-RO"/>
        </w:rPr>
        <w:t>Nu știe trupul de preacurvie dacă sufletul nu îi spune. Preacurvia în inimă se săvârșește; ceea ce, din subțiri fire, în cămările de taină ale inimii s-a urzit, aceea trupul, în felul său stângaci, doar reînnoiește</w:t>
      </w:r>
      <w:r w:rsidRPr="00D25ACA">
        <w:rPr>
          <w:rStyle w:val="FootnoteReference"/>
          <w:i/>
          <w:sz w:val="24"/>
          <w:szCs w:val="24"/>
          <w:lang w:val="ro-RO"/>
        </w:rPr>
        <w:footnoteReference w:id="50"/>
      </w:r>
      <w:r w:rsidRPr="00D25ACA">
        <w:rPr>
          <w:i/>
          <w:lang w:val="ro-RO"/>
        </w:rPr>
        <w:t>.</w:t>
      </w:r>
      <w:r w:rsidRPr="00D25ACA">
        <w:t xml:space="preserve">  </w:t>
      </w:r>
      <w:r w:rsidRPr="00D25ACA">
        <w:rPr>
          <w:spacing w:val="-2"/>
        </w:rPr>
        <w:t xml:space="preserve"> </w:t>
      </w:r>
    </w:p>
    <w:p w:rsidR="00887C51" w:rsidRPr="00D25ACA" w:rsidRDefault="00887C51" w:rsidP="00887C51">
      <w:pPr>
        <w:pStyle w:val="c12"/>
        <w:spacing w:before="0" w:beforeAutospacing="0" w:after="0" w:afterAutospacing="0"/>
        <w:ind w:left="-180" w:right="-563" w:firstLine="567"/>
        <w:jc w:val="both"/>
        <w:rPr>
          <w:b/>
          <w:i/>
          <w:u w:val="single"/>
        </w:rPr>
      </w:pPr>
    </w:p>
    <w:p w:rsidR="00887C51" w:rsidRPr="00D25ACA" w:rsidRDefault="00887C51" w:rsidP="00887C51">
      <w:pPr>
        <w:pStyle w:val="BodyText"/>
        <w:ind w:left="-180" w:right="-563" w:firstLine="0"/>
        <w:rPr>
          <w:b/>
          <w:bCs/>
          <w:sz w:val="24"/>
          <w:szCs w:val="24"/>
        </w:rPr>
      </w:pPr>
      <w:r w:rsidRPr="00D25ACA">
        <w:rPr>
          <w:b/>
          <w:bCs/>
          <w:sz w:val="24"/>
          <w:szCs w:val="24"/>
        </w:rPr>
        <w:t>4.Trupul omenesc: “</w:t>
      </w:r>
      <w:r w:rsidRPr="00D25ACA">
        <w:rPr>
          <w:b/>
          <w:bCs/>
          <w:i/>
          <w:iCs/>
          <w:sz w:val="24"/>
          <w:szCs w:val="24"/>
        </w:rPr>
        <w:t>organ</w:t>
      </w:r>
      <w:r w:rsidRPr="00D25ACA">
        <w:rPr>
          <w:b/>
          <w:bCs/>
          <w:sz w:val="24"/>
          <w:szCs w:val="24"/>
        </w:rPr>
        <w:t xml:space="preserve"> </w:t>
      </w:r>
      <w:r w:rsidRPr="00D25ACA">
        <w:rPr>
          <w:b/>
          <w:bCs/>
          <w:i/>
          <w:iCs/>
          <w:sz w:val="24"/>
          <w:szCs w:val="24"/>
        </w:rPr>
        <w:t>străveziu al tainei infinite a lui Dumnezeu</w:t>
      </w:r>
      <w:r w:rsidRPr="00D25ACA">
        <w:rPr>
          <w:b/>
          <w:bCs/>
          <w:sz w:val="24"/>
          <w:szCs w:val="24"/>
        </w:rPr>
        <w:t>”</w:t>
      </w:r>
      <w:r w:rsidRPr="00D25ACA">
        <w:rPr>
          <w:rStyle w:val="FootnoteReference"/>
          <w:b/>
          <w:bCs/>
          <w:sz w:val="24"/>
          <w:szCs w:val="24"/>
        </w:rPr>
        <w:footnoteReference w:id="51"/>
      </w:r>
    </w:p>
    <w:p w:rsidR="00887C51" w:rsidRPr="00D25ACA" w:rsidRDefault="00887C51" w:rsidP="00887C51">
      <w:pPr>
        <w:pStyle w:val="c12"/>
        <w:spacing w:before="0" w:beforeAutospacing="0" w:after="0" w:afterAutospacing="0"/>
        <w:ind w:left="-180" w:right="-563" w:firstLine="567"/>
        <w:jc w:val="both"/>
        <w:rPr>
          <w:lang w:val="ro-RO"/>
        </w:rPr>
      </w:pPr>
    </w:p>
    <w:p w:rsidR="00887C51" w:rsidRPr="00D25ACA" w:rsidRDefault="00887C51" w:rsidP="00887C51">
      <w:pPr>
        <w:pStyle w:val="c12"/>
        <w:spacing w:before="0" w:beforeAutospacing="0" w:after="0" w:afterAutospacing="0"/>
        <w:ind w:left="-180" w:right="-563" w:firstLine="567"/>
        <w:jc w:val="both"/>
        <w:rPr>
          <w:lang w:val="ro-RO"/>
        </w:rPr>
      </w:pPr>
      <w:r w:rsidRPr="00D25ACA">
        <w:rPr>
          <w:lang w:val="ro-RO"/>
        </w:rPr>
        <w:t xml:space="preserve">Părintele Dumitru Stăniloae  a subliniat în contexte diferite însemnătatea deosebită a trupul omenesc. Vom reda câteva texte de la sine grăitoare, atât prin profunzimea conţinutului, cât şi prin frumuseţea exprimării: </w:t>
      </w:r>
    </w:p>
    <w:p w:rsidR="00887C51" w:rsidRPr="00D25ACA" w:rsidRDefault="00887C51" w:rsidP="00887C51">
      <w:pPr>
        <w:pStyle w:val="c12"/>
        <w:spacing w:before="0" w:beforeAutospacing="0" w:after="0" w:afterAutospacing="0"/>
        <w:ind w:left="-180" w:right="-563" w:firstLine="889"/>
        <w:jc w:val="both"/>
        <w:rPr>
          <w:lang w:val="ro-RO"/>
        </w:rPr>
      </w:pPr>
      <w:r w:rsidRPr="00D25ACA">
        <w:rPr>
          <w:lang w:val="ro-RO"/>
        </w:rPr>
        <w:t xml:space="preserve"> “Trupul omului este o raţionalitate palpabilă, concretă, specială, în legătură cu raţionalitatea palpabilă, con</w:t>
      </w:r>
      <w:r w:rsidRPr="00D25ACA">
        <w:rPr>
          <w:lang w:val="ro-RO"/>
        </w:rPr>
        <w:softHyphen/>
        <w:t>cretă a naturii. El reprezintă cel mai complex sistem de raţionalitate plasticizată”.</w:t>
      </w:r>
      <w:r w:rsidRPr="00D25ACA">
        <w:rPr>
          <w:rStyle w:val="FootnoteReference"/>
          <w:sz w:val="24"/>
          <w:szCs w:val="24"/>
        </w:rPr>
        <w:footnoteReference w:id="52"/>
      </w:r>
      <w:r w:rsidRPr="00D25ACA">
        <w:rPr>
          <w:lang w:val="ro-RO"/>
        </w:rPr>
        <w:t xml:space="preserve"> </w:t>
      </w:r>
    </w:p>
    <w:p w:rsidR="00887C51" w:rsidRPr="00D25ACA" w:rsidRDefault="00887C51" w:rsidP="00887C51">
      <w:pPr>
        <w:pStyle w:val="c12"/>
        <w:spacing w:before="0" w:beforeAutospacing="0" w:after="0" w:afterAutospacing="0"/>
        <w:ind w:left="-180" w:right="-563" w:firstLine="889"/>
        <w:jc w:val="both"/>
      </w:pPr>
      <w:r w:rsidRPr="00D25ACA">
        <w:rPr>
          <w:lang w:val="ro-RO"/>
        </w:rPr>
        <w:t>“Trupul omului nu e numai materie sau numai raţiona</w:t>
      </w:r>
      <w:r w:rsidRPr="00D25ACA">
        <w:rPr>
          <w:lang w:val="ro-RO"/>
        </w:rPr>
        <w:softHyphen/>
        <w:t>litate plasticizată ca obiect; ci materie subiectivizată, participând la su</w:t>
      </w:r>
      <w:r w:rsidRPr="00D25ACA">
        <w:rPr>
          <w:lang w:val="ro-RO"/>
        </w:rPr>
        <w:softHyphen/>
        <w:t xml:space="preserve">biect ca subiect. </w:t>
      </w:r>
      <w:r w:rsidRPr="00D25ACA">
        <w:rPr>
          <w:lang w:val="it-IT"/>
        </w:rPr>
        <w:t>În realita</w:t>
      </w:r>
      <w:r w:rsidRPr="00D25ACA">
        <w:rPr>
          <w:lang w:val="it-IT"/>
        </w:rPr>
        <w:softHyphen/>
        <w:t xml:space="preserve">tea trupului meu e ceva care transcende ceea ce s-ar putea numi materialitatea lui şi mişcările ei pur automate, ceva ce nu se poate reduce la proprietăţile lui materiale. </w:t>
      </w:r>
      <w:r w:rsidRPr="00D25ACA">
        <w:t>Există o non-obiectivitate parţială a trupului”</w:t>
      </w:r>
      <w:r w:rsidRPr="00D25ACA">
        <w:rPr>
          <w:rStyle w:val="FootnoteReference"/>
          <w:sz w:val="24"/>
          <w:szCs w:val="24"/>
        </w:rPr>
        <w:footnoteReference w:id="53"/>
      </w:r>
      <w:r w:rsidRPr="00D25ACA">
        <w:t xml:space="preserve">. </w:t>
      </w:r>
    </w:p>
    <w:p w:rsidR="00887C51" w:rsidRPr="00D25ACA" w:rsidRDefault="00887C51" w:rsidP="00887C51">
      <w:pPr>
        <w:pStyle w:val="c12"/>
        <w:spacing w:before="0" w:beforeAutospacing="0" w:after="0" w:afterAutospacing="0"/>
        <w:ind w:left="-180" w:right="-563" w:firstLine="889"/>
        <w:jc w:val="both"/>
      </w:pPr>
      <w:r w:rsidRPr="00D25ACA">
        <w:t xml:space="preserve"> “Dar Hristos făcându-Se om format din suflet şi trup, ne-a arătat şi valoarea ce o dă Dumnezeu trupului omenesc, chemat prin înviere şi el la eternitate”</w:t>
      </w:r>
      <w:r w:rsidRPr="00D25ACA">
        <w:rPr>
          <w:rStyle w:val="FootnoteReference"/>
          <w:sz w:val="24"/>
          <w:szCs w:val="24"/>
        </w:rPr>
        <w:footnoteReference w:id="54"/>
      </w:r>
      <w:r w:rsidRPr="00D25ACA">
        <w:t>.</w:t>
      </w:r>
    </w:p>
    <w:p w:rsidR="00887C51" w:rsidRPr="00D25ACA" w:rsidRDefault="00887C51" w:rsidP="00887C51">
      <w:pPr>
        <w:pStyle w:val="c12"/>
        <w:spacing w:before="0" w:beforeAutospacing="0" w:after="0" w:afterAutospacing="0"/>
        <w:ind w:left="-180" w:right="-563" w:firstLine="889"/>
        <w:jc w:val="both"/>
      </w:pPr>
      <w:r w:rsidRPr="00D25ACA">
        <w:t xml:space="preserve"> “Hristos, ca unire a Fiului lui Dumnezeu cu uma</w:t>
      </w:r>
      <w:r w:rsidRPr="00D25ACA">
        <w:softHyphen/>
        <w:t>nitatea, într-un anumit moment al istoriei, e înscris ca virtualitate chiar în firea noastră. Faptul că numai prin umanitatea asumată în ipostasul Său ni se face Fiul lui Dumnezeu apropiat şi comunicabil la maxi</w:t>
      </w:r>
      <w:r w:rsidRPr="00D25ACA">
        <w:softHyphen/>
        <w:t>mum înseamnă că omenitatea este cel mai corespunzător mediu prin care ni se comunică Dumnezeu, sau că Dumnezeu a făcut omenitatea ca pe chipul şi organul cel mai comunicabil al Său cu oamenii, aceştia având pe Hristos virtual în ei”</w:t>
      </w:r>
      <w:r w:rsidRPr="00D25ACA">
        <w:rPr>
          <w:rStyle w:val="FootnoteReference"/>
          <w:sz w:val="24"/>
          <w:szCs w:val="24"/>
        </w:rPr>
        <w:footnoteReference w:id="55"/>
      </w:r>
      <w:r w:rsidRPr="00D25ACA">
        <w:t>.</w:t>
      </w:r>
    </w:p>
    <w:p w:rsidR="00887C51" w:rsidRPr="00D25ACA" w:rsidRDefault="00887C51" w:rsidP="00887C51">
      <w:pPr>
        <w:pStyle w:val="c12"/>
        <w:spacing w:before="0" w:beforeAutospacing="0" w:after="0" w:afterAutospacing="0"/>
        <w:ind w:left="-180" w:right="-563" w:firstLine="889"/>
        <w:jc w:val="both"/>
        <w:rPr>
          <w:spacing w:val="-2"/>
        </w:rPr>
      </w:pPr>
      <w:r w:rsidRPr="00D25ACA">
        <w:t xml:space="preserve"> “În trupul omenesc asumat de Fiul lui Dumnezeu e temeiul şi izvorul sfinţirii întregului cosmos material şi din El luăm putere să colaborăm şi noi, prin trupul nostru, la sfinţirea </w:t>
      </w:r>
      <w:r w:rsidRPr="00D25ACA">
        <w:rPr>
          <w:spacing w:val="-2"/>
        </w:rPr>
        <w:t>cosmosului”</w:t>
      </w:r>
      <w:r w:rsidRPr="00D25ACA">
        <w:rPr>
          <w:rStyle w:val="FootnoteReference"/>
          <w:sz w:val="24"/>
          <w:szCs w:val="24"/>
        </w:rPr>
        <w:footnoteReference w:id="56"/>
      </w:r>
      <w:r w:rsidRPr="00D25ACA">
        <w:rPr>
          <w:spacing w:val="-2"/>
        </w:rPr>
        <w:t xml:space="preserve">. </w:t>
      </w:r>
    </w:p>
    <w:p w:rsidR="00887C51" w:rsidRPr="00D25ACA" w:rsidRDefault="00887C51" w:rsidP="00887C51">
      <w:pPr>
        <w:pStyle w:val="c12"/>
        <w:spacing w:before="0" w:beforeAutospacing="0" w:after="0" w:afterAutospacing="0"/>
        <w:ind w:left="-180" w:right="-563" w:firstLine="889"/>
        <w:jc w:val="both"/>
        <w:rPr>
          <w:spacing w:val="-2"/>
        </w:rPr>
      </w:pPr>
      <w:r w:rsidRPr="00D25ACA">
        <w:rPr>
          <w:spacing w:val="-2"/>
        </w:rPr>
        <w:lastRenderedPageBreak/>
        <w:t>“A simţi comunicarea cu Cuvântul lui Dumnezeu cel întrupat înseamnă a simţi şi viaţa dumnezeiască trăită de El în trupul Lui”</w:t>
      </w:r>
      <w:r w:rsidRPr="00D25ACA">
        <w:rPr>
          <w:rStyle w:val="FootnoteReference"/>
          <w:sz w:val="24"/>
          <w:szCs w:val="24"/>
        </w:rPr>
        <w:footnoteReference w:id="57"/>
      </w:r>
      <w:r w:rsidRPr="00D25ACA">
        <w:rPr>
          <w:spacing w:val="-2"/>
        </w:rPr>
        <w:t>, aceasta deoarece în Hristos “</w:t>
      </w:r>
      <w:r w:rsidRPr="00D25ACA">
        <w:rPr>
          <w:i/>
          <w:iCs/>
          <w:spacing w:val="-2"/>
        </w:rPr>
        <w:t xml:space="preserve">locuieşte trupeşte – </w:t>
      </w:r>
      <w:r w:rsidRPr="00D25ACA">
        <w:rPr>
          <w:spacing w:val="-2"/>
        </w:rPr>
        <w:t xml:space="preserve">somatikos </w:t>
      </w:r>
      <w:r w:rsidRPr="00D25ACA">
        <w:rPr>
          <w:i/>
          <w:iCs/>
          <w:spacing w:val="-2"/>
        </w:rPr>
        <w:t>toată plinătatea dumnezeirii</w:t>
      </w:r>
      <w:r w:rsidRPr="00D25ACA">
        <w:rPr>
          <w:spacing w:val="-2"/>
        </w:rPr>
        <w:t xml:space="preserve"> –</w:t>
      </w:r>
      <w:r w:rsidRPr="00D25ACA">
        <w:rPr>
          <w:i/>
          <w:spacing w:val="-2"/>
        </w:rPr>
        <w:t xml:space="preserve"> pan to pleroma tes theotetos</w:t>
      </w:r>
      <w:r w:rsidRPr="00D25ACA">
        <w:rPr>
          <w:spacing w:val="-2"/>
        </w:rPr>
        <w:t>” (</w:t>
      </w:r>
      <w:r w:rsidRPr="00D25ACA">
        <w:rPr>
          <w:bCs/>
          <w:spacing w:val="-2"/>
        </w:rPr>
        <w:t>Col</w:t>
      </w:r>
      <w:r w:rsidRPr="00D25ACA">
        <w:rPr>
          <w:spacing w:val="-2"/>
        </w:rPr>
        <w:t>., 2, 9).</w:t>
      </w:r>
    </w:p>
    <w:p w:rsidR="00887C51" w:rsidRPr="00D25ACA" w:rsidRDefault="00887C51" w:rsidP="00887C51">
      <w:pPr>
        <w:pStyle w:val="c12"/>
        <w:spacing w:before="0" w:beforeAutospacing="0" w:after="0" w:afterAutospacing="0"/>
        <w:ind w:left="-180" w:right="-563" w:firstLine="567"/>
        <w:jc w:val="both"/>
        <w:rPr>
          <w:i/>
        </w:rPr>
      </w:pPr>
      <w:r w:rsidRPr="00D25ACA">
        <w:rPr>
          <w:spacing w:val="-2"/>
        </w:rPr>
        <w:t xml:space="preserve"> </w:t>
      </w:r>
      <w:r w:rsidRPr="00D25ACA">
        <w:rPr>
          <w:lang w:val="fr-FR"/>
        </w:rPr>
        <w:t>“</w:t>
      </w:r>
      <w:r w:rsidRPr="00D25ACA">
        <w:rPr>
          <w:i/>
          <w:lang w:val="fr-FR"/>
        </w:rPr>
        <w:t>Schimbarea</w:t>
      </w:r>
      <w:r w:rsidRPr="00D25ACA">
        <w:rPr>
          <w:lang w:val="fr-FR"/>
        </w:rPr>
        <w:t xml:space="preserve"> </w:t>
      </w:r>
      <w:r w:rsidRPr="00D25ACA">
        <w:rPr>
          <w:i/>
          <w:lang w:val="fr-FR"/>
        </w:rPr>
        <w:t>la</w:t>
      </w:r>
      <w:r w:rsidRPr="00D25ACA">
        <w:rPr>
          <w:lang w:val="fr-FR"/>
        </w:rPr>
        <w:t xml:space="preserve"> </w:t>
      </w:r>
      <w:r w:rsidRPr="00D25ACA">
        <w:rPr>
          <w:i/>
          <w:lang w:val="fr-FR"/>
        </w:rPr>
        <w:t>faţă</w:t>
      </w:r>
      <w:r w:rsidRPr="00D25ACA">
        <w:rPr>
          <w:lang w:val="fr-FR"/>
        </w:rPr>
        <w:t xml:space="preserve"> a lui Hristos pe Tabor, dovada anticipată despre lumina Sfintei Treimi, ce va iradia din trupul Său înviat şi al tuturor celor ce-şi vor arăta credinţa prin faptele lor”</w:t>
      </w:r>
      <w:r w:rsidRPr="00D25ACA">
        <w:rPr>
          <w:rStyle w:val="FootnoteCharacters"/>
        </w:rPr>
        <w:footnoteReference w:customMarkFollows="1" w:id="58"/>
        <w:t>29</w:t>
      </w:r>
      <w:r w:rsidRPr="00D25ACA">
        <w:rPr>
          <w:i/>
        </w:rPr>
        <w:t>.</w:t>
      </w:r>
    </w:p>
    <w:p w:rsidR="00887C51" w:rsidRPr="00D25ACA" w:rsidRDefault="00887C51" w:rsidP="00887C51">
      <w:pPr>
        <w:pStyle w:val="BodyText"/>
        <w:ind w:left="-180" w:right="-563"/>
        <w:rPr>
          <w:sz w:val="24"/>
          <w:szCs w:val="24"/>
        </w:rPr>
      </w:pPr>
      <w:r w:rsidRPr="00D25ACA">
        <w:rPr>
          <w:sz w:val="24"/>
          <w:szCs w:val="24"/>
        </w:rPr>
        <w:t>În jertfa vieţii, adică moartea trupească pentru alţii, “se arată o altă mare valoare ce s-a dat trupului: aceea de a asigura eternitatea omului, primind să se jertfească cu trupul”</w:t>
      </w:r>
      <w:r w:rsidRPr="00D25ACA">
        <w:rPr>
          <w:rStyle w:val="FootnoteReference"/>
          <w:sz w:val="24"/>
          <w:szCs w:val="24"/>
        </w:rPr>
        <w:footnoteReference w:id="59"/>
      </w:r>
      <w:r w:rsidRPr="00D25ACA">
        <w:rPr>
          <w:sz w:val="24"/>
          <w:szCs w:val="24"/>
        </w:rPr>
        <w:t>, iar jertfa Mântuitorului oferă sensul pozitiv al morţii:</w:t>
      </w:r>
    </w:p>
    <w:p w:rsidR="00887C51" w:rsidRPr="00D25ACA" w:rsidRDefault="00887C51" w:rsidP="00887C51">
      <w:pPr>
        <w:pStyle w:val="BodyText"/>
        <w:ind w:left="-180" w:right="-563"/>
        <w:rPr>
          <w:sz w:val="24"/>
          <w:szCs w:val="24"/>
        </w:rPr>
      </w:pPr>
      <w:r w:rsidRPr="00D25ACA">
        <w:rPr>
          <w:sz w:val="24"/>
          <w:szCs w:val="24"/>
        </w:rPr>
        <w:t xml:space="preserve"> “Fiul lui Dumnezeu, întrupându-Se, foloseşte chiar moartea pentru a învinge moartea”</w:t>
      </w:r>
      <w:r w:rsidRPr="00D25ACA">
        <w:rPr>
          <w:rStyle w:val="FootnoteReference"/>
          <w:sz w:val="24"/>
          <w:szCs w:val="24"/>
        </w:rPr>
        <w:footnoteReference w:id="60"/>
      </w:r>
      <w:r w:rsidRPr="00D25ACA">
        <w:rPr>
          <w:sz w:val="24"/>
          <w:szCs w:val="24"/>
        </w:rPr>
        <w:t xml:space="preserve">. </w:t>
      </w:r>
    </w:p>
    <w:p w:rsidR="00887C51" w:rsidRPr="00D25ACA" w:rsidRDefault="00887C51" w:rsidP="00887C51">
      <w:pPr>
        <w:pStyle w:val="BodyText"/>
        <w:ind w:left="-180" w:right="-563"/>
        <w:rPr>
          <w:sz w:val="24"/>
          <w:szCs w:val="24"/>
        </w:rPr>
      </w:pPr>
      <w:r w:rsidRPr="00D25ACA">
        <w:rPr>
          <w:sz w:val="24"/>
          <w:szCs w:val="24"/>
        </w:rPr>
        <w:t>Valoarea trupului jertfit reiese şi din faptul că trupurile martirilor devin sfinte moaşte, care reprezintă şi un semn al valorii veşnice, intrinseci a trupului, chiar dacă pnevmatizat, deoarece la judecata finală, trupurile vor fi recreate în funcție de ce am făcut noi aici cu trupurile noastre!</w:t>
      </w:r>
    </w:p>
    <w:p w:rsidR="00887C51" w:rsidRPr="00D25ACA" w:rsidRDefault="00887C51" w:rsidP="00887C51">
      <w:pPr>
        <w:pStyle w:val="BodyText"/>
        <w:ind w:left="-180" w:right="-563"/>
        <w:rPr>
          <w:sz w:val="24"/>
          <w:szCs w:val="24"/>
        </w:rPr>
      </w:pPr>
      <w:r w:rsidRPr="00D25ACA">
        <w:rPr>
          <w:sz w:val="24"/>
          <w:szCs w:val="24"/>
        </w:rPr>
        <w:t xml:space="preserve">  De fapt, prin taina sacrificiului luăm act de semnificaţia conceptului de dăruire completă în termenii duhovniceşti şi ontici, şi nicidecum în termenii unui moralism omenesc şi conjunctural. Motiv pentru care ideea de </w:t>
      </w:r>
      <w:r w:rsidRPr="00D25ACA">
        <w:rPr>
          <w:i/>
          <w:iCs/>
          <w:sz w:val="24"/>
          <w:szCs w:val="24"/>
        </w:rPr>
        <w:t xml:space="preserve">a rupe din trupul tău personal, </w:t>
      </w:r>
      <w:r w:rsidRPr="00D25ACA">
        <w:rPr>
          <w:sz w:val="24"/>
          <w:szCs w:val="24"/>
        </w:rPr>
        <w:t>în vederea donării de organe în scopul salvării de vieţi omeneşti este o preocupare la zi pentru teologia creştină, ca sacrificiu în sens esenţial; este un gest al comuniunii</w:t>
      </w:r>
      <w:r w:rsidRPr="00D25ACA">
        <w:rPr>
          <w:rStyle w:val="FootnoteReference"/>
          <w:sz w:val="24"/>
          <w:szCs w:val="24"/>
        </w:rPr>
        <w:footnoteReference w:id="61"/>
      </w:r>
      <w:r w:rsidRPr="00D25ACA">
        <w:rPr>
          <w:sz w:val="24"/>
          <w:szCs w:val="24"/>
        </w:rPr>
        <w:t>.</w:t>
      </w:r>
    </w:p>
    <w:p w:rsidR="00887C51" w:rsidRPr="00D25ACA" w:rsidRDefault="00887C51" w:rsidP="00887C51">
      <w:pPr>
        <w:pStyle w:val="BodyText"/>
        <w:ind w:left="-180" w:right="-563"/>
        <w:rPr>
          <w:color w:val="FF0000"/>
          <w:sz w:val="24"/>
          <w:szCs w:val="24"/>
        </w:rPr>
      </w:pPr>
      <w:r w:rsidRPr="00D25ACA">
        <w:rPr>
          <w:sz w:val="24"/>
          <w:szCs w:val="24"/>
        </w:rPr>
        <w:t xml:space="preserve"> “În cea mai mare apropiere şi eficienţă ne-a înfăţişat Cuvântul lui Dumnezeu nemurirea ca plinătate de viaţă prin învierea şi înălţarea cu trupul. Căci dacă omul a fost creat prin Dumnezeu Cuvântul, nu ca raţiune fără trup, ci ca raţiune în trup şi în contextul lumii, în El e dată putinţa de a veni la oameni în trup, pentru a-i învia cu trupul, sau a-i aduce în mod real la nemurire în fiinţa lor integrală, alcătuită din suflet şi trup. Dacă n-ar fi venit Cuvântul lui Dumnezeu în trup, chiar drepţii din </w:t>
      </w:r>
      <w:r w:rsidRPr="00D25ACA">
        <w:rPr>
          <w:bCs/>
          <w:sz w:val="24"/>
          <w:szCs w:val="24"/>
        </w:rPr>
        <w:t>Vechiul Testament</w:t>
      </w:r>
      <w:r w:rsidRPr="00D25ACA">
        <w:rPr>
          <w:sz w:val="24"/>
          <w:szCs w:val="24"/>
        </w:rPr>
        <w:t xml:space="preserve"> ar fi rămas într-o nemurire nedeplină, pentru că n-ar fi înviat cu trupul. Iar viaţa omului nu e deplină fără trup”</w:t>
      </w:r>
      <w:r w:rsidRPr="00D25ACA">
        <w:rPr>
          <w:rStyle w:val="FootnoteReference"/>
          <w:sz w:val="24"/>
          <w:szCs w:val="24"/>
        </w:rPr>
        <w:footnoteReference w:id="62"/>
      </w:r>
      <w:r w:rsidRPr="00D25ACA">
        <w:rPr>
          <w:sz w:val="24"/>
          <w:szCs w:val="24"/>
        </w:rPr>
        <w:t>.</w:t>
      </w:r>
      <w:r w:rsidRPr="00D25ACA">
        <w:rPr>
          <w:color w:val="FF0000"/>
          <w:sz w:val="24"/>
          <w:szCs w:val="24"/>
        </w:rPr>
        <w:t xml:space="preserve"> </w:t>
      </w:r>
    </w:p>
    <w:p w:rsidR="00887C51" w:rsidRPr="00D25ACA" w:rsidRDefault="00887C51" w:rsidP="00887C51">
      <w:pPr>
        <w:pStyle w:val="BodyText"/>
        <w:ind w:left="-180" w:right="-563"/>
        <w:rPr>
          <w:color w:val="FF0000"/>
          <w:sz w:val="24"/>
          <w:szCs w:val="24"/>
        </w:rPr>
      </w:pPr>
      <w:r w:rsidRPr="00D25ACA">
        <w:rPr>
          <w:sz w:val="24"/>
          <w:szCs w:val="24"/>
        </w:rPr>
        <w:t xml:space="preserve">În secţiunea despre </w:t>
      </w:r>
      <w:r w:rsidRPr="00D25ACA">
        <w:rPr>
          <w:i/>
          <w:sz w:val="24"/>
          <w:szCs w:val="24"/>
        </w:rPr>
        <w:t>constituţia teandrică</w:t>
      </w:r>
      <w:r w:rsidRPr="00D25ACA">
        <w:rPr>
          <w:sz w:val="24"/>
          <w:szCs w:val="24"/>
        </w:rPr>
        <w:t xml:space="preserve"> a Bisericii părintele Stăniloae sublinia: „dacă Fiul lui Dumnezeu n-ar fi luat trup şi nu l-ar fi îndumnezeit prin Înviere şi Înălţare, ar fi lipsit inelul de legătură între Dumnezeu şi creaţie”</w:t>
      </w:r>
      <w:r w:rsidRPr="00D25ACA">
        <w:rPr>
          <w:rStyle w:val="FootnoteReference"/>
          <w:sz w:val="24"/>
          <w:szCs w:val="24"/>
        </w:rPr>
        <w:footnoteReference w:id="63"/>
      </w:r>
      <w:r w:rsidRPr="00D25ACA">
        <w:rPr>
          <w:sz w:val="24"/>
          <w:szCs w:val="24"/>
        </w:rPr>
        <w:t>.</w:t>
      </w:r>
      <w:r w:rsidRPr="00D25ACA">
        <w:rPr>
          <w:color w:val="FF0000"/>
          <w:sz w:val="24"/>
          <w:szCs w:val="24"/>
        </w:rPr>
        <w:t xml:space="preserve"> </w:t>
      </w:r>
    </w:p>
    <w:p w:rsidR="00887C51" w:rsidRPr="00D25ACA" w:rsidRDefault="00887C51" w:rsidP="00887C51">
      <w:pPr>
        <w:pStyle w:val="BodyText"/>
        <w:ind w:left="-180" w:right="-563"/>
        <w:rPr>
          <w:sz w:val="24"/>
          <w:szCs w:val="24"/>
        </w:rPr>
      </w:pPr>
      <w:r w:rsidRPr="00D25ACA">
        <w:rPr>
          <w:spacing w:val="-2"/>
          <w:sz w:val="24"/>
          <w:szCs w:val="24"/>
        </w:rPr>
        <w:t>“Sfintele Taine pun în relief, ca şi întru</w:t>
      </w:r>
      <w:r w:rsidRPr="00D25ACA">
        <w:rPr>
          <w:spacing w:val="-2"/>
          <w:sz w:val="24"/>
          <w:szCs w:val="24"/>
        </w:rPr>
        <w:softHyphen/>
        <w:t xml:space="preserve">parea Domnului, </w:t>
      </w:r>
      <w:r w:rsidRPr="00D25ACA">
        <w:rPr>
          <w:i/>
          <w:iCs/>
          <w:spacing w:val="-2"/>
          <w:sz w:val="24"/>
          <w:szCs w:val="24"/>
        </w:rPr>
        <w:t>marea însemnătate a trupului omenesc şi valoarea lui eternă ca mediu transparent al bogăţiilor şi adâncimilor dumnezeieşti</w:t>
      </w:r>
      <w:r w:rsidRPr="00D25ACA">
        <w:rPr>
          <w:spacing w:val="-2"/>
          <w:sz w:val="24"/>
          <w:szCs w:val="24"/>
        </w:rPr>
        <w:t xml:space="preserve"> (s.n.). (…) A sfinţi trupul înseamnă a sfinţi şi sufletul sau a-l face mediu tot mai străveziu şi organ tot mai adecvat al prezenţei dumnezeirii. Orice gest al trupului are repercusiuni asupra vieţii sufleteşti şi orice gând sau simţire din suflet se repercutează în trup. (…) Este cu neputinţă de a desprinde total din suflet rădăcinile trupului, precum este cu neputinţă de a vedea în trup numai materie”</w:t>
      </w:r>
      <w:r w:rsidRPr="00D25ACA">
        <w:rPr>
          <w:rStyle w:val="FootnoteReference"/>
          <w:sz w:val="24"/>
          <w:szCs w:val="24"/>
        </w:rPr>
        <w:footnoteReference w:id="64"/>
      </w:r>
      <w:r w:rsidRPr="00D25ACA">
        <w:rPr>
          <w:spacing w:val="-2"/>
          <w:sz w:val="24"/>
          <w:szCs w:val="24"/>
        </w:rPr>
        <w:t xml:space="preserve">. Un om cu trupul </w:t>
      </w:r>
      <w:r w:rsidRPr="00D25ACA">
        <w:rPr>
          <w:sz w:val="24"/>
          <w:szCs w:val="24"/>
        </w:rPr>
        <w:t xml:space="preserve"> înduhovnicit este capabil nu doar să influenţeze pe semenii săi, ci şi să pună o pecete spirituală pe natura materială din jurul său.  Prin urmare, un trup înduhovnicit devine un trup transparent, depăşind tot mai mult limitele trăirii biologice, transformând-le în trăiri şi simţiri spiritualizate şi pecetluind întreaga creaţie văzută prin </w:t>
      </w:r>
      <w:r w:rsidRPr="00D25ACA">
        <w:rPr>
          <w:sz w:val="24"/>
          <w:szCs w:val="24"/>
        </w:rPr>
        <w:lastRenderedPageBreak/>
        <w:t>puterea spiritului raţional şi liber din el</w:t>
      </w:r>
      <w:r w:rsidRPr="00D25ACA">
        <w:rPr>
          <w:rStyle w:val="FootnoteReference"/>
          <w:sz w:val="24"/>
          <w:szCs w:val="24"/>
        </w:rPr>
        <w:footnoteReference w:id="65"/>
      </w:r>
      <w:r w:rsidRPr="00D25ACA">
        <w:rPr>
          <w:sz w:val="24"/>
          <w:szCs w:val="24"/>
        </w:rPr>
        <w:t>.</w:t>
      </w:r>
    </w:p>
    <w:p w:rsidR="00887C51" w:rsidRPr="00D25ACA" w:rsidRDefault="00887C51" w:rsidP="00887C51">
      <w:pPr>
        <w:pStyle w:val="BodyText"/>
        <w:ind w:left="-180" w:right="-563"/>
        <w:rPr>
          <w:sz w:val="24"/>
          <w:szCs w:val="24"/>
        </w:rPr>
      </w:pPr>
      <w:r w:rsidRPr="00D25ACA">
        <w:rPr>
          <w:sz w:val="24"/>
          <w:szCs w:val="24"/>
        </w:rPr>
        <w:t>“Trupurile înviate rămân neschimbate după fiinţa lor, dar vor fi îndu</w:t>
      </w:r>
      <w:r w:rsidRPr="00D25ACA">
        <w:rPr>
          <w:sz w:val="24"/>
          <w:szCs w:val="24"/>
        </w:rPr>
        <w:softHyphen/>
        <w:t xml:space="preserve">hovnicite. (…) Creştinismul crede în orice caz într-o veşnicie a materiei, a unei materii nestingherit transfigurată de puterea şi bogăţia infinită a vieţii spirituale şi de energiile divine. Creştinismul admite un fel de </w:t>
      </w:r>
      <w:r w:rsidRPr="00D25ACA">
        <w:rPr>
          <w:i/>
          <w:iCs/>
          <w:sz w:val="24"/>
          <w:szCs w:val="24"/>
        </w:rPr>
        <w:t>materialism mistic</w:t>
      </w:r>
      <w:r w:rsidRPr="00D25ACA">
        <w:rPr>
          <w:sz w:val="24"/>
          <w:szCs w:val="24"/>
        </w:rPr>
        <w:t xml:space="preserve">, cunoaşte o </w:t>
      </w:r>
      <w:r w:rsidRPr="00D25ACA">
        <w:rPr>
          <w:i/>
          <w:iCs/>
          <w:sz w:val="24"/>
          <w:szCs w:val="24"/>
        </w:rPr>
        <w:t>sfântă materie</w:t>
      </w:r>
      <w:r w:rsidRPr="00D25ACA">
        <w:rPr>
          <w:sz w:val="24"/>
          <w:szCs w:val="24"/>
        </w:rPr>
        <w:t>. Căci sfânt este trupul Domnului prin a cărui primire se sfinţesc şi trupurile noastre”.</w:t>
      </w:r>
      <w:r w:rsidRPr="00D25ACA">
        <w:rPr>
          <w:rStyle w:val="FootnoteReference"/>
          <w:sz w:val="24"/>
          <w:szCs w:val="24"/>
        </w:rPr>
        <w:footnoteReference w:id="66"/>
      </w:r>
      <w:r w:rsidRPr="00D25ACA">
        <w:rPr>
          <w:sz w:val="24"/>
          <w:szCs w:val="24"/>
        </w:rPr>
        <w:t xml:space="preserve"> Credem că avem aici cel mai neaşteptat răspuns posibil la propaganda ateistă, la aşa-zisul materialism ştiinţific, la idolatrizarea materiei.  </w:t>
      </w:r>
    </w:p>
    <w:p w:rsidR="00887C51" w:rsidRPr="00D25ACA" w:rsidRDefault="00887C51" w:rsidP="00887C51">
      <w:pPr>
        <w:pStyle w:val="BodyText"/>
        <w:ind w:left="-180" w:right="-563" w:firstLine="0"/>
        <w:rPr>
          <w:b/>
          <w:bCs/>
          <w:sz w:val="24"/>
          <w:szCs w:val="24"/>
        </w:rPr>
      </w:pPr>
      <w:r w:rsidRPr="00D25ACA">
        <w:rPr>
          <w:sz w:val="24"/>
          <w:szCs w:val="24"/>
        </w:rPr>
        <w:t xml:space="preserve"> </w:t>
      </w:r>
    </w:p>
    <w:p w:rsidR="00887C51" w:rsidRPr="00D25ACA" w:rsidRDefault="00887C51" w:rsidP="00887C51">
      <w:pPr>
        <w:spacing w:line="240" w:lineRule="auto"/>
        <w:ind w:left="-180" w:right="-563" w:firstLine="720"/>
        <w:jc w:val="both"/>
        <w:rPr>
          <w:rFonts w:ascii="Times New Roman" w:hAnsi="Times New Roman"/>
          <w:sz w:val="24"/>
          <w:szCs w:val="24"/>
          <w:lang w:val="ro-RO"/>
        </w:rPr>
      </w:pPr>
      <w:r w:rsidRPr="00D25ACA">
        <w:rPr>
          <w:rFonts w:ascii="Times New Roman" w:hAnsi="Times New Roman"/>
          <w:sz w:val="24"/>
          <w:szCs w:val="24"/>
          <w:lang w:val="ro-RO"/>
        </w:rPr>
        <w:t xml:space="preserve">În concluzie, valoarea trupului ar putea fi sintetizată în cele șase puncte – cifră care aminteşte de cele şase zile ale Genezei – expuse de Jean Claude Larchet în lucrarea de referinţă </w:t>
      </w:r>
      <w:r w:rsidRPr="00D25ACA">
        <w:rPr>
          <w:rFonts w:ascii="Times New Roman" w:hAnsi="Times New Roman"/>
          <w:i/>
          <w:iCs/>
          <w:sz w:val="24"/>
          <w:szCs w:val="24"/>
          <w:lang w:val="ro-RO"/>
        </w:rPr>
        <w:t>Acesta este trupul Meu</w:t>
      </w:r>
      <w:r w:rsidRPr="00D25ACA">
        <w:rPr>
          <w:rStyle w:val="FootnoteReference"/>
          <w:rFonts w:ascii="Times New Roman" w:hAnsi="Times New Roman"/>
          <w:sz w:val="24"/>
          <w:szCs w:val="24"/>
        </w:rPr>
        <w:footnoteReference w:id="67"/>
      </w:r>
      <w:r w:rsidRPr="00D25ACA">
        <w:rPr>
          <w:rFonts w:ascii="Times New Roman" w:hAnsi="Times New Roman"/>
          <w:i/>
          <w:iCs/>
          <w:sz w:val="24"/>
          <w:szCs w:val="24"/>
          <w:lang w:val="ro-RO"/>
        </w:rPr>
        <w:t>.</w:t>
      </w:r>
      <w:r w:rsidRPr="00D25ACA">
        <w:rPr>
          <w:rFonts w:ascii="Times New Roman" w:hAnsi="Times New Roman"/>
          <w:sz w:val="24"/>
          <w:szCs w:val="24"/>
          <w:lang w:val="ro-RO"/>
        </w:rPr>
        <w:t xml:space="preserve"> Trupul la J.C. Larchet este o scară care prezentifică un urcuş al omului către Parusie în dubla sa condiţie: prima: primordială şi a doua: restaurată. Treptele trupului-scară la J.C. Larchet sunt după cum urmează: „Starea dintâi a trupului”, „Trupul păcatului”, „Trupul mântuit şi îndumnezeit prin Întruparea Cuvântului lui Dumnezeu”, „Rostul trupului în viaţa duhovnicească”, </w:t>
      </w:r>
      <w:r w:rsidRPr="00D25ACA">
        <w:rPr>
          <w:rFonts w:ascii="Times New Roman" w:hAnsi="Times New Roman"/>
          <w:color w:val="222222"/>
          <w:sz w:val="24"/>
          <w:szCs w:val="24"/>
          <w:shd w:val="clear" w:color="auto" w:fill="FFFFFF"/>
          <w:lang w:val="ro-RO"/>
        </w:rPr>
        <w:t>„Moartea şi învierea trupului”</w:t>
      </w:r>
      <w:r w:rsidRPr="00D25ACA">
        <w:rPr>
          <w:rFonts w:ascii="Times New Roman" w:hAnsi="Times New Roman"/>
          <w:sz w:val="24"/>
          <w:szCs w:val="24"/>
          <w:lang w:val="ro-RO"/>
        </w:rPr>
        <w:t xml:space="preserve"> și „Trupul transfigurat şi îndumnezeit, </w:t>
      </w:r>
      <w:r w:rsidRPr="00D25ACA">
        <w:rPr>
          <w:rFonts w:ascii="Times New Roman" w:hAnsi="Times New Roman"/>
          <w:color w:val="222222"/>
          <w:sz w:val="24"/>
          <w:szCs w:val="24"/>
          <w:shd w:val="clear" w:color="auto" w:fill="FFFFFF"/>
          <w:lang w:val="ro-RO"/>
        </w:rPr>
        <w:t>«trupul slavei»”</w:t>
      </w:r>
      <w:r w:rsidRPr="00D25ACA">
        <w:rPr>
          <w:rStyle w:val="FootnoteReference"/>
          <w:rFonts w:ascii="Times New Roman" w:hAnsi="Times New Roman"/>
          <w:sz w:val="24"/>
          <w:szCs w:val="24"/>
        </w:rPr>
        <w:footnoteReference w:id="68"/>
      </w:r>
      <w:r w:rsidRPr="00D25ACA">
        <w:rPr>
          <w:rFonts w:ascii="Times New Roman" w:hAnsi="Times New Roman"/>
          <w:sz w:val="24"/>
          <w:szCs w:val="24"/>
          <w:lang w:val="ro-RO"/>
        </w:rPr>
        <w:t xml:space="preserve">. Prin intermediul acestei scări ontologice decriptăm faptul că trupul este menit slavei eschatologice, iar </w:t>
      </w:r>
      <w:r w:rsidRPr="00D25ACA">
        <w:rPr>
          <w:rFonts w:ascii="Times New Roman" w:hAnsi="Times New Roman"/>
          <w:i/>
          <w:iCs/>
          <w:sz w:val="24"/>
          <w:szCs w:val="24"/>
          <w:lang w:val="ro-RO"/>
        </w:rPr>
        <w:t>întruparea</w:t>
      </w:r>
      <w:r w:rsidRPr="00D25ACA">
        <w:rPr>
          <w:rFonts w:ascii="Times New Roman" w:hAnsi="Times New Roman"/>
          <w:sz w:val="24"/>
          <w:szCs w:val="24"/>
          <w:lang w:val="ro-RO"/>
        </w:rPr>
        <w:t xml:space="preserve"> era prefigurată să se petreacă la plinirea vremii, deoarece desăvârşirea omului constă în unirea cu Logosul înomenit. Căderea în păcat a cauzat schimbarea modului şi a condiţiilor  întrupării cu întruparea însăşi</w:t>
      </w:r>
      <w:r w:rsidRPr="00D25ACA">
        <w:rPr>
          <w:rStyle w:val="FootnoteReference"/>
          <w:rFonts w:ascii="Times New Roman" w:hAnsi="Times New Roman"/>
          <w:sz w:val="24"/>
          <w:szCs w:val="24"/>
        </w:rPr>
        <w:footnoteReference w:id="69"/>
      </w:r>
      <w:r w:rsidRPr="00D25ACA">
        <w:rPr>
          <w:rFonts w:ascii="Times New Roman" w:hAnsi="Times New Roman"/>
          <w:sz w:val="24"/>
          <w:szCs w:val="24"/>
          <w:lang w:val="ro-RO"/>
        </w:rPr>
        <w:t xml:space="preserve">. Mai mult, potrivit Părintelui Dumitru Stăniloae, prin Sfintele Taine se săvârşeşte o recreare atât la nivel </w:t>
      </w:r>
      <w:r w:rsidRPr="00D25ACA">
        <w:rPr>
          <w:rFonts w:ascii="Times New Roman" w:hAnsi="Times New Roman"/>
          <w:i/>
          <w:sz w:val="24"/>
          <w:szCs w:val="24"/>
          <w:lang w:val="ro-RO"/>
        </w:rPr>
        <w:t>micro</w:t>
      </w:r>
      <w:r w:rsidRPr="00D25ACA">
        <w:rPr>
          <w:rFonts w:ascii="Times New Roman" w:hAnsi="Times New Roman"/>
          <w:sz w:val="24"/>
          <w:szCs w:val="24"/>
          <w:lang w:val="ro-RO"/>
        </w:rPr>
        <w:t xml:space="preserve"> , cât şi la cel </w:t>
      </w:r>
      <w:r w:rsidRPr="00D25ACA">
        <w:rPr>
          <w:rFonts w:ascii="Times New Roman" w:hAnsi="Times New Roman"/>
          <w:i/>
          <w:sz w:val="24"/>
          <w:szCs w:val="24"/>
          <w:lang w:val="ro-RO"/>
        </w:rPr>
        <w:t>macro</w:t>
      </w:r>
      <w:r w:rsidRPr="00D25ACA">
        <w:rPr>
          <w:rFonts w:ascii="Times New Roman" w:hAnsi="Times New Roman"/>
          <w:sz w:val="24"/>
          <w:szCs w:val="24"/>
          <w:lang w:val="ro-RO"/>
        </w:rPr>
        <w:t xml:space="preserve"> al universului, prin care abia acum înţelegem rosturile trupului în cadrul vieţii duhovniceşti a omului, rosturi ratate de om din cauza căderii în păcat, dar posibil de împlinit de către omul restaurat în Hristos. Părintele Stăniloae conchide: “Taina omului creat după chipul lui Dumnezeu constă în faptul că Dumnezeu se poate face Persoană la nivelul oamenilor şi omul poate fi urcat la nivelul Persoanei dumnezeieşti, făcută şi Persoană a umanităţii. Taina omului ca chip al Fiului lui Dumnezeu stă în faptul că Fiul lui Dumnezeu Se poate face frate cu oamenii şi oamenii fraţi ai Fiului lui Dumnezeu”</w:t>
      </w:r>
      <w:r w:rsidRPr="00D25ACA">
        <w:rPr>
          <w:rStyle w:val="FootnoteReference"/>
          <w:rFonts w:ascii="Times New Roman" w:hAnsi="Times New Roman"/>
          <w:sz w:val="24"/>
          <w:szCs w:val="24"/>
        </w:rPr>
        <w:footnoteReference w:id="70"/>
      </w:r>
      <w:r w:rsidRPr="00D25ACA">
        <w:rPr>
          <w:rFonts w:ascii="Times New Roman" w:hAnsi="Times New Roman"/>
          <w:sz w:val="24"/>
          <w:szCs w:val="24"/>
          <w:lang w:val="ro-RO"/>
        </w:rPr>
        <w:t xml:space="preserve">, și implicit, fii adoptivi ai Tatălui ceresc și ai Maicii Domnului. </w:t>
      </w:r>
    </w:p>
    <w:p w:rsidR="00887C51" w:rsidRPr="00D25ACA" w:rsidRDefault="00887C51" w:rsidP="00887C51">
      <w:pPr>
        <w:ind w:left="-180" w:right="-563"/>
        <w:rPr>
          <w:rFonts w:ascii="Times New Roman" w:hAnsi="Times New Roman"/>
          <w:b/>
          <w:i/>
          <w:color w:val="00B050"/>
          <w:sz w:val="24"/>
          <w:szCs w:val="24"/>
          <w:u w:val="single"/>
          <w:lang w:val="ro-RO"/>
        </w:rPr>
      </w:pPr>
      <w:r w:rsidRPr="00D25ACA">
        <w:rPr>
          <w:rFonts w:ascii="Times New Roman" w:hAnsi="Times New Roman"/>
          <w:b/>
          <w:i/>
          <w:color w:val="00B050"/>
          <w:sz w:val="24"/>
          <w:szCs w:val="24"/>
          <w:u w:val="single"/>
          <w:lang w:val="ro-RO"/>
        </w:rPr>
        <w:t xml:space="preserve"> </w:t>
      </w:r>
    </w:p>
    <w:p w:rsidR="00887C51" w:rsidRPr="00D25ACA" w:rsidRDefault="00887C51" w:rsidP="00887C51">
      <w:pPr>
        <w:ind w:left="-180" w:right="-563"/>
        <w:rPr>
          <w:rFonts w:ascii="Times New Roman" w:hAnsi="Times New Roman"/>
          <w:b/>
          <w:sz w:val="24"/>
          <w:szCs w:val="24"/>
          <w:lang w:val="ro-RO"/>
        </w:rPr>
      </w:pPr>
      <w:r w:rsidRPr="00D25ACA">
        <w:rPr>
          <w:rFonts w:ascii="Times New Roman" w:hAnsi="Times New Roman"/>
          <w:b/>
          <w:sz w:val="24"/>
          <w:szCs w:val="24"/>
        </w:rPr>
        <w:t>5. Creație și /sau evoluție?</w:t>
      </w:r>
      <w:r w:rsidRPr="00D25ACA">
        <w:rPr>
          <w:rStyle w:val="FootnoteReference"/>
          <w:rFonts w:ascii="Times New Roman" w:hAnsi="Times New Roman"/>
          <w:b/>
          <w:sz w:val="24"/>
          <w:szCs w:val="24"/>
        </w:rPr>
        <w:t xml:space="preserve"> </w:t>
      </w:r>
    </w:p>
    <w:p w:rsidR="00887C51" w:rsidRPr="00D25ACA" w:rsidRDefault="00887C51" w:rsidP="00887C51">
      <w:pPr>
        <w:pStyle w:val="BodyText"/>
        <w:ind w:left="-180" w:right="-563"/>
        <w:rPr>
          <w:b/>
          <w:sz w:val="24"/>
          <w:szCs w:val="24"/>
        </w:rPr>
      </w:pPr>
    </w:p>
    <w:p w:rsidR="00887C51" w:rsidRPr="00D25ACA" w:rsidRDefault="00887C51" w:rsidP="00887C51">
      <w:pPr>
        <w:pStyle w:val="BodyText"/>
        <w:ind w:left="-180" w:right="-563"/>
        <w:rPr>
          <w:sz w:val="24"/>
          <w:szCs w:val="24"/>
        </w:rPr>
      </w:pPr>
      <w:r w:rsidRPr="00D25ACA">
        <w:rPr>
          <w:sz w:val="24"/>
          <w:szCs w:val="24"/>
        </w:rPr>
        <w:t xml:space="preserve">Reeditarea în limba română, după 60 de ani, a celebrei lucrări a lui Charles Darwin, </w:t>
      </w:r>
      <w:r w:rsidRPr="00D25ACA">
        <w:rPr>
          <w:i/>
          <w:sz w:val="24"/>
          <w:szCs w:val="24"/>
        </w:rPr>
        <w:t>Originea speciilor</w:t>
      </w:r>
      <w:r w:rsidRPr="00D25ACA">
        <w:rPr>
          <w:rStyle w:val="FootnoteReference"/>
          <w:sz w:val="24"/>
          <w:szCs w:val="24"/>
        </w:rPr>
        <w:footnoteReference w:id="71"/>
      </w:r>
      <w:r w:rsidRPr="00D25ACA">
        <w:rPr>
          <w:i/>
          <w:sz w:val="24"/>
          <w:szCs w:val="24"/>
        </w:rPr>
        <w:t>,</w:t>
      </w:r>
      <w:r w:rsidRPr="00D25ACA">
        <w:rPr>
          <w:sz w:val="24"/>
          <w:szCs w:val="24"/>
        </w:rPr>
        <w:t xml:space="preserve"> este un bun prilej pentru a accentua importanța abordării cu maximă seriozitate a problematicii dialogului dintre Teologie și antropologia științifică. Și aceasta cu atât mai mult cu cât, Charles Darwin, absolvent al Facultății de Teologia a Universității din Cambridge, în penultima pagină  a lucrării sale pe care tocmai am menționat-o, scria despre:„ (...) </w:t>
      </w:r>
      <w:r w:rsidRPr="00D25ACA">
        <w:rPr>
          <w:i/>
          <w:sz w:val="24"/>
          <w:szCs w:val="24"/>
        </w:rPr>
        <w:t xml:space="preserve">legile imprimate materiei de către </w:t>
      </w:r>
      <w:r w:rsidRPr="00D25ACA">
        <w:rPr>
          <w:i/>
          <w:sz w:val="24"/>
          <w:szCs w:val="24"/>
        </w:rPr>
        <w:lastRenderedPageBreak/>
        <w:t>Creator</w:t>
      </w:r>
      <w:r w:rsidRPr="00D25ACA">
        <w:rPr>
          <w:sz w:val="24"/>
          <w:szCs w:val="24"/>
        </w:rPr>
        <w:t>”</w:t>
      </w:r>
      <w:r w:rsidRPr="00D25ACA">
        <w:rPr>
          <w:rStyle w:val="FootnoteReference"/>
          <w:sz w:val="24"/>
          <w:szCs w:val="24"/>
        </w:rPr>
        <w:footnoteReference w:id="72"/>
      </w:r>
      <w:r w:rsidRPr="00D25ACA">
        <w:rPr>
          <w:sz w:val="24"/>
          <w:szCs w:val="24"/>
        </w:rPr>
        <w:t xml:space="preserve"> . Întrucât această temă are un grad mare de complexitate și presupune ample cunoștințe, ne rezumăm aici la a ne referi la câteva cărți recente, din care aflăm stadiul cercetării, dar și existența unor punți clare de dialog.</w:t>
      </w:r>
    </w:p>
    <w:p w:rsidR="00887C51" w:rsidRPr="00D25ACA" w:rsidRDefault="00887C51" w:rsidP="00887C51">
      <w:pPr>
        <w:pStyle w:val="BodyText"/>
        <w:ind w:left="-180" w:right="-563"/>
        <w:rPr>
          <w:sz w:val="24"/>
          <w:szCs w:val="24"/>
        </w:rPr>
      </w:pPr>
      <w:r w:rsidRPr="00D25ACA">
        <w:rPr>
          <w:sz w:val="24"/>
          <w:szCs w:val="24"/>
        </w:rPr>
        <w:t xml:space="preserve"> Amintim mai întâi foarte interesantul demers întreprins de Francisco J.Ayala</w:t>
      </w:r>
      <w:r w:rsidRPr="00D25ACA">
        <w:rPr>
          <w:rStyle w:val="FootnoteReference"/>
          <w:sz w:val="24"/>
          <w:szCs w:val="24"/>
        </w:rPr>
        <w:footnoteReference w:id="73"/>
      </w:r>
      <w:r w:rsidRPr="00D25ACA">
        <w:rPr>
          <w:sz w:val="24"/>
          <w:szCs w:val="24"/>
        </w:rPr>
        <w:t xml:space="preserve">, concretizat și prin lucrarea sa intitulată:  </w:t>
      </w:r>
      <w:r w:rsidRPr="00D25ACA">
        <w:rPr>
          <w:i/>
          <w:sz w:val="24"/>
          <w:szCs w:val="24"/>
        </w:rPr>
        <w:t>Darul lui Darwin către știință și religie</w:t>
      </w:r>
      <w:r w:rsidRPr="00D25ACA">
        <w:rPr>
          <w:rStyle w:val="FootnoteReference"/>
          <w:sz w:val="24"/>
          <w:szCs w:val="24"/>
        </w:rPr>
        <w:footnoteReference w:id="74"/>
      </w:r>
      <w:r w:rsidRPr="00D25ACA">
        <w:rPr>
          <w:i/>
          <w:sz w:val="24"/>
          <w:szCs w:val="24"/>
        </w:rPr>
        <w:t>.</w:t>
      </w:r>
      <w:r w:rsidRPr="00D25ACA">
        <w:rPr>
          <w:sz w:val="24"/>
          <w:szCs w:val="24"/>
        </w:rPr>
        <w:t xml:space="preserve"> Autorul are studii teologice la Salamca și doctorat în genetică la Universitatea Columbia din New York, prin urmare este în măsură să afirme: </w:t>
      </w:r>
    </w:p>
    <w:p w:rsidR="00887C51" w:rsidRPr="00D25ACA" w:rsidRDefault="00887C51" w:rsidP="00887C51">
      <w:pPr>
        <w:pStyle w:val="BodyText"/>
        <w:tabs>
          <w:tab w:val="left" w:pos="5387"/>
        </w:tabs>
        <w:ind w:left="-180" w:right="-563"/>
        <w:rPr>
          <w:sz w:val="24"/>
          <w:szCs w:val="24"/>
        </w:rPr>
      </w:pPr>
      <w:r w:rsidRPr="00D25ACA">
        <w:rPr>
          <w:sz w:val="24"/>
          <w:szCs w:val="24"/>
        </w:rPr>
        <w:t xml:space="preserve"> „Dacă sunt înțelese corect, ele </w:t>
      </w:r>
      <w:r w:rsidRPr="00D25ACA">
        <w:rPr>
          <w:i/>
          <w:sz w:val="24"/>
          <w:szCs w:val="24"/>
        </w:rPr>
        <w:t xml:space="preserve">nu pot </w:t>
      </w:r>
      <w:r w:rsidRPr="00D25ACA">
        <w:rPr>
          <w:sz w:val="24"/>
          <w:szCs w:val="24"/>
        </w:rPr>
        <w:t>fi în contradicție, întrucât știința și religia se referă la lucruri distincte. Știința se ocupă de procesele din lumea naturală: evoluția planetelor, compoziția materiei și a atmosferei, originea și funcționarea organismelor. Religia abordează scopul și semnificația  lumii și a vieții omului, relația adecvată a oamenilor cu Creatorul lor și cu toți cei din jur, valorile morale care inspiră și guvernează viețile oamenilor”</w:t>
      </w:r>
      <w:r w:rsidRPr="00D25ACA">
        <w:rPr>
          <w:rStyle w:val="FootnoteReference"/>
          <w:sz w:val="24"/>
          <w:szCs w:val="24"/>
        </w:rPr>
        <w:footnoteReference w:id="75"/>
      </w:r>
      <w:r w:rsidRPr="00D25ACA">
        <w:rPr>
          <w:sz w:val="24"/>
          <w:szCs w:val="24"/>
        </w:rPr>
        <w:t>.</w:t>
      </w:r>
    </w:p>
    <w:p w:rsidR="00887C51" w:rsidRPr="00D25ACA" w:rsidRDefault="00887C51" w:rsidP="00887C51">
      <w:pPr>
        <w:pStyle w:val="BodyText"/>
        <w:tabs>
          <w:tab w:val="left" w:pos="5387"/>
        </w:tabs>
        <w:ind w:left="-180" w:right="-563"/>
        <w:rPr>
          <w:i/>
          <w:sz w:val="24"/>
          <w:szCs w:val="24"/>
        </w:rPr>
      </w:pPr>
      <w:r w:rsidRPr="00D25ACA">
        <w:rPr>
          <w:sz w:val="24"/>
          <w:szCs w:val="24"/>
        </w:rPr>
        <w:t xml:space="preserve">Francisco J.Ayala precizează că de fapt Darwin „considera </w:t>
      </w:r>
      <w:r w:rsidRPr="00D25ACA">
        <w:rPr>
          <w:i/>
          <w:sz w:val="24"/>
          <w:szCs w:val="24"/>
        </w:rPr>
        <w:t>selecția naturală</w:t>
      </w:r>
      <w:r w:rsidRPr="00D25ACA">
        <w:rPr>
          <w:sz w:val="24"/>
          <w:szCs w:val="24"/>
        </w:rPr>
        <w:t xml:space="preserve">, și nu </w:t>
      </w:r>
      <w:r w:rsidRPr="00D25ACA">
        <w:rPr>
          <w:i/>
          <w:sz w:val="24"/>
          <w:szCs w:val="24"/>
        </w:rPr>
        <w:t>evoluția</w:t>
      </w:r>
      <w:r w:rsidRPr="00D25ACA">
        <w:rPr>
          <w:sz w:val="24"/>
          <w:szCs w:val="24"/>
        </w:rPr>
        <w:t xml:space="preserve"> ca atare, ca fiind </w:t>
      </w:r>
      <w:r w:rsidRPr="00D25ACA">
        <w:rPr>
          <w:i/>
          <w:sz w:val="24"/>
          <w:szCs w:val="24"/>
        </w:rPr>
        <w:t>teoria sa</w:t>
      </w:r>
      <w:r w:rsidRPr="00D25ACA">
        <w:rPr>
          <w:sz w:val="24"/>
          <w:szCs w:val="24"/>
        </w:rPr>
        <w:t>”</w:t>
      </w:r>
      <w:r w:rsidRPr="00D25ACA">
        <w:rPr>
          <w:rStyle w:val="FootnoteReference"/>
          <w:sz w:val="24"/>
          <w:szCs w:val="24"/>
        </w:rPr>
        <w:t xml:space="preserve"> </w:t>
      </w:r>
      <w:r w:rsidRPr="00D25ACA">
        <w:rPr>
          <w:rStyle w:val="FootnoteReference"/>
          <w:sz w:val="24"/>
          <w:szCs w:val="24"/>
        </w:rPr>
        <w:footnoteReference w:id="76"/>
      </w:r>
      <w:r w:rsidRPr="00D25ACA">
        <w:rPr>
          <w:sz w:val="24"/>
          <w:szCs w:val="24"/>
        </w:rPr>
        <w:t xml:space="preserve">, prin urmare ar fi necesare aici câteva precizări terminologice în legătură cu cele trei concepte subliniate: </w:t>
      </w:r>
      <w:r w:rsidRPr="00D25ACA">
        <w:rPr>
          <w:i/>
          <w:sz w:val="24"/>
          <w:szCs w:val="24"/>
        </w:rPr>
        <w:t>selecție naturală,</w:t>
      </w:r>
      <w:r w:rsidRPr="00D25ACA">
        <w:rPr>
          <w:sz w:val="24"/>
          <w:szCs w:val="24"/>
        </w:rPr>
        <w:t xml:space="preserve"> </w:t>
      </w:r>
      <w:r w:rsidRPr="00D25ACA">
        <w:rPr>
          <w:i/>
          <w:sz w:val="24"/>
          <w:szCs w:val="24"/>
        </w:rPr>
        <w:t>evoluție</w:t>
      </w:r>
      <w:r w:rsidRPr="00D25ACA">
        <w:rPr>
          <w:sz w:val="24"/>
          <w:szCs w:val="24"/>
        </w:rPr>
        <w:t xml:space="preserve"> și </w:t>
      </w:r>
      <w:r w:rsidRPr="00D25ACA">
        <w:rPr>
          <w:i/>
          <w:sz w:val="24"/>
          <w:szCs w:val="24"/>
        </w:rPr>
        <w:t xml:space="preserve"> teorie.</w:t>
      </w:r>
    </w:p>
    <w:p w:rsidR="00887C51" w:rsidRPr="00D25ACA" w:rsidRDefault="00887C51" w:rsidP="00887C51">
      <w:pPr>
        <w:pStyle w:val="BodyText"/>
        <w:tabs>
          <w:tab w:val="left" w:pos="5387"/>
        </w:tabs>
        <w:ind w:left="-180" w:right="-563"/>
        <w:rPr>
          <w:sz w:val="24"/>
          <w:szCs w:val="24"/>
        </w:rPr>
      </w:pPr>
      <w:r w:rsidRPr="00D25ACA">
        <w:rPr>
          <w:sz w:val="24"/>
          <w:szCs w:val="24"/>
        </w:rPr>
        <w:t xml:space="preserve"> Urmându-l pe F.Ayala</w:t>
      </w:r>
      <w:r w:rsidRPr="00D25ACA">
        <w:rPr>
          <w:rStyle w:val="FootnoteReference"/>
          <w:sz w:val="24"/>
          <w:szCs w:val="24"/>
        </w:rPr>
        <w:footnoteReference w:id="77"/>
      </w:r>
      <w:r w:rsidRPr="00D25ACA">
        <w:rPr>
          <w:sz w:val="24"/>
          <w:szCs w:val="24"/>
        </w:rPr>
        <w:t xml:space="preserve">, Denis Alexander precizează că prin  </w:t>
      </w:r>
      <w:r w:rsidRPr="00D25ACA">
        <w:rPr>
          <w:i/>
          <w:sz w:val="24"/>
          <w:szCs w:val="24"/>
        </w:rPr>
        <w:t>selecție naturală</w:t>
      </w:r>
      <w:r w:rsidRPr="00D25ACA">
        <w:rPr>
          <w:sz w:val="24"/>
          <w:szCs w:val="24"/>
        </w:rPr>
        <w:t xml:space="preserve"> se înțelege „reproducerea diferențiată de variații genetice alternative, determinată de faptul că unele variații sunt benefice pentru că sporesc probabilitatea ca organismele să trăiască mai mult sau să fie mai fertile decât alte organisme cu variații alternative. De-a lungul generațiilor, variațiile benefice vor fi păstrate și multiplicate; variațiile periculoase sau mai puțin benefice vor fi eliminate”</w:t>
      </w:r>
      <w:r w:rsidRPr="00D25ACA">
        <w:rPr>
          <w:rStyle w:val="FootnoteReference"/>
          <w:sz w:val="24"/>
          <w:szCs w:val="24"/>
        </w:rPr>
        <w:footnoteReference w:id="78"/>
      </w:r>
      <w:r w:rsidRPr="00D25ACA">
        <w:rPr>
          <w:sz w:val="24"/>
          <w:szCs w:val="24"/>
        </w:rPr>
        <w:t>.</w:t>
      </w:r>
    </w:p>
    <w:p w:rsidR="00887C51" w:rsidRPr="00D25ACA" w:rsidRDefault="00887C51" w:rsidP="00887C51">
      <w:pPr>
        <w:pStyle w:val="BodyText"/>
        <w:tabs>
          <w:tab w:val="left" w:pos="5387"/>
        </w:tabs>
        <w:ind w:left="-180" w:right="-563"/>
        <w:rPr>
          <w:sz w:val="24"/>
          <w:szCs w:val="24"/>
        </w:rPr>
      </w:pPr>
      <w:r w:rsidRPr="00D25ACA">
        <w:rPr>
          <w:i/>
          <w:sz w:val="24"/>
          <w:szCs w:val="24"/>
        </w:rPr>
        <w:t>Evoluția</w:t>
      </w:r>
      <w:r w:rsidRPr="00D25ACA">
        <w:rPr>
          <w:sz w:val="24"/>
          <w:szCs w:val="24"/>
        </w:rPr>
        <w:t xml:space="preserve"> biologică este definită ca descendență cu modificare. Această definiție include atât evoluția la scară mică (cum ar fi modificări ale frecvenței unei gene particulare în cadrul unei populații de la o generație la alta), cât și evoluția pe scară largă (cum ar fi descendenţa diferitelor specii dintr-un strămoș comun pe parcursul mai multor generații)</w:t>
      </w:r>
      <w:r w:rsidRPr="00D25ACA">
        <w:rPr>
          <w:rStyle w:val="FootnoteReference"/>
          <w:sz w:val="24"/>
          <w:szCs w:val="24"/>
        </w:rPr>
        <w:footnoteReference w:id="79"/>
      </w:r>
      <w:r w:rsidRPr="00D25ACA">
        <w:rPr>
          <w:sz w:val="24"/>
          <w:szCs w:val="24"/>
        </w:rPr>
        <w:t>. Principiile de bază propuse de Darwin</w:t>
      </w:r>
      <w:r w:rsidRPr="00D25ACA">
        <w:rPr>
          <w:rStyle w:val="FootnoteReference"/>
          <w:sz w:val="24"/>
          <w:szCs w:val="24"/>
        </w:rPr>
        <w:footnoteReference w:id="80"/>
      </w:r>
      <w:r w:rsidRPr="00D25ACA">
        <w:rPr>
          <w:sz w:val="24"/>
          <w:szCs w:val="24"/>
        </w:rPr>
        <w:t xml:space="preserve"> și acceptate în general de comunitatea științifică, au fost că există un strămoș comun pentru toată viața de pe pământ; că speciile s-au dezvoltat prin variații în formă (acum cunoscută ca fiind rezultatul mutațiilor transmisibile); și că prin </w:t>
      </w:r>
      <w:r w:rsidRPr="00D25ACA">
        <w:rPr>
          <w:i/>
          <w:sz w:val="24"/>
          <w:szCs w:val="24"/>
        </w:rPr>
        <w:t>selecția naturală</w:t>
      </w:r>
      <w:r w:rsidRPr="00D25ACA">
        <w:rPr>
          <w:sz w:val="24"/>
          <w:szCs w:val="24"/>
        </w:rPr>
        <w:t xml:space="preserve"> se aleg variații și se ajunge la speciaţii. La acea vreme, cărțile au fost controversate, atât în viziunea publicului și dintr-o perspectivă religioasă. Biserica Angliei a reacționat împotriva cărții la momentul respectiv, cu toate că acest punct de vedere s-a atenuat într-o acceptare incomodă de-a lungul deceniilor care au urmat. Chiar și Biserica Romano-Catolică a acceptat în cele din urmă o perspectivă pro-evoluție prin activitatea unor savanți notatabili ca Teilhard de Chardin </w:t>
      </w:r>
      <w:r w:rsidRPr="00D25ACA">
        <w:rPr>
          <w:sz w:val="24"/>
          <w:szCs w:val="24"/>
        </w:rPr>
        <w:lastRenderedPageBreak/>
        <w:t>și alţii</w:t>
      </w:r>
      <w:r w:rsidRPr="00D25ACA">
        <w:rPr>
          <w:rStyle w:val="FootnoteReference"/>
          <w:sz w:val="24"/>
          <w:szCs w:val="24"/>
        </w:rPr>
        <w:footnoteReference w:id="81"/>
      </w:r>
      <w:r w:rsidRPr="00D25ACA">
        <w:rPr>
          <w:sz w:val="24"/>
          <w:szCs w:val="24"/>
        </w:rPr>
        <w:t>.</w:t>
      </w:r>
    </w:p>
    <w:p w:rsidR="00887C51" w:rsidRPr="00D25ACA" w:rsidRDefault="00887C51" w:rsidP="00887C51">
      <w:pPr>
        <w:pStyle w:val="BodyText"/>
        <w:tabs>
          <w:tab w:val="left" w:pos="5387"/>
        </w:tabs>
        <w:ind w:left="-180" w:right="-563"/>
        <w:rPr>
          <w:sz w:val="24"/>
          <w:szCs w:val="24"/>
        </w:rPr>
      </w:pPr>
      <w:r w:rsidRPr="00D25ACA">
        <w:rPr>
          <w:sz w:val="24"/>
          <w:szCs w:val="24"/>
        </w:rPr>
        <w:t xml:space="preserve">În continuare cercetătoare ortodoxă din SUA, </w:t>
      </w:r>
      <w:r w:rsidRPr="00D25ACA">
        <w:rPr>
          <w:color w:val="000000"/>
          <w:spacing w:val="2"/>
          <w:sz w:val="24"/>
          <w:szCs w:val="24"/>
          <w:lang w:eastAsia="ro-RO"/>
        </w:rPr>
        <w:t>Gayl</w:t>
      </w:r>
      <w:r w:rsidRPr="00D25ACA">
        <w:rPr>
          <w:color w:val="000000"/>
          <w:sz w:val="24"/>
          <w:szCs w:val="24"/>
          <w:lang w:eastAsia="ro-RO"/>
        </w:rPr>
        <w:t>e</w:t>
      </w:r>
      <w:r w:rsidRPr="00D25ACA">
        <w:rPr>
          <w:color w:val="000000"/>
          <w:spacing w:val="7"/>
          <w:sz w:val="24"/>
          <w:szCs w:val="24"/>
          <w:lang w:eastAsia="ro-RO"/>
        </w:rPr>
        <w:t xml:space="preserve"> E</w:t>
      </w:r>
      <w:r w:rsidRPr="00D25ACA">
        <w:rPr>
          <w:color w:val="000000"/>
          <w:sz w:val="24"/>
          <w:szCs w:val="24"/>
          <w:lang w:eastAsia="ro-RO"/>
        </w:rPr>
        <w:t>.</w:t>
      </w:r>
      <w:r w:rsidRPr="00D25ACA">
        <w:rPr>
          <w:color w:val="000000"/>
          <w:spacing w:val="9"/>
          <w:sz w:val="24"/>
          <w:szCs w:val="24"/>
          <w:lang w:eastAsia="ro-RO"/>
        </w:rPr>
        <w:t xml:space="preserve"> Woloscha</w:t>
      </w:r>
      <w:r w:rsidRPr="00D25ACA">
        <w:rPr>
          <w:color w:val="000000"/>
          <w:sz w:val="24"/>
          <w:szCs w:val="24"/>
          <w:lang w:eastAsia="ro-RO"/>
        </w:rPr>
        <w:t xml:space="preserve">k </w:t>
      </w:r>
      <w:r w:rsidRPr="00D25ACA">
        <w:rPr>
          <w:sz w:val="24"/>
          <w:szCs w:val="24"/>
        </w:rPr>
        <w:t xml:space="preserve">aduce clarificări în privința conceptului de </w:t>
      </w:r>
      <w:r w:rsidRPr="00D25ACA">
        <w:rPr>
          <w:i/>
          <w:sz w:val="24"/>
          <w:szCs w:val="24"/>
        </w:rPr>
        <w:t>teorie științifică</w:t>
      </w:r>
      <w:r w:rsidRPr="00D25ACA">
        <w:rPr>
          <w:sz w:val="24"/>
          <w:szCs w:val="24"/>
        </w:rPr>
        <w:t xml:space="preserve">, evoluția fiind prezentată ca o teorie științifică. O </w:t>
      </w:r>
      <w:r w:rsidRPr="00D25ACA">
        <w:rPr>
          <w:i/>
          <w:sz w:val="24"/>
          <w:szCs w:val="24"/>
        </w:rPr>
        <w:t>teorie științifică</w:t>
      </w:r>
      <w:r w:rsidRPr="00D25ACA">
        <w:rPr>
          <w:sz w:val="24"/>
          <w:szCs w:val="24"/>
        </w:rPr>
        <w:t xml:space="preserve"> este un model logic autosuficient care descrie comportamentul unui fenomen natural cu origine și susținut de fapte observabile. La fel ca toate celelalte teorii științifice (cum ar fi teoria gravitației, teoria relativității, etc.), teoria evoluţionistă este formulată, dezvoltată, și evaluată conform metodei științifice. De multe ori în limbajul de zi cu zi, oamenii echivalează cuvântul "teorie" cu "speculații" sau "presupunere". În practica științifică, cu toate acestea, cuvântul </w:t>
      </w:r>
      <w:r w:rsidRPr="00D25ACA">
        <w:rPr>
          <w:i/>
          <w:sz w:val="24"/>
          <w:szCs w:val="24"/>
        </w:rPr>
        <w:t>teorie</w:t>
      </w:r>
      <w:r w:rsidRPr="00D25ACA">
        <w:rPr>
          <w:sz w:val="24"/>
          <w:szCs w:val="24"/>
        </w:rPr>
        <w:t xml:space="preserve"> are un sens foarte specific - este un model al lumii (sau o parte din ea), din care ipotezele pot fi generate și verificate (sau nu) prin observarea empirică a faptelor. </w:t>
      </w:r>
    </w:p>
    <w:p w:rsidR="00887C51" w:rsidRPr="00D25ACA" w:rsidRDefault="00887C51" w:rsidP="00887C51">
      <w:pPr>
        <w:pStyle w:val="BodyText"/>
        <w:tabs>
          <w:tab w:val="left" w:pos="5387"/>
        </w:tabs>
        <w:ind w:left="-180" w:right="-563"/>
        <w:rPr>
          <w:rFonts w:eastAsia="Calibri"/>
          <w:sz w:val="24"/>
          <w:szCs w:val="24"/>
          <w:lang w:val="en-US"/>
        </w:rPr>
      </w:pPr>
      <w:r w:rsidRPr="00D25ACA">
        <w:rPr>
          <w:sz w:val="24"/>
          <w:szCs w:val="24"/>
        </w:rPr>
        <w:t xml:space="preserve"> Metoda științifică este caracterizată prin câteva trăsături majore: (1)  obiectivul este de a observa evenimentele așa cum sunt ele, fără a le falsifica; (2) rezultatele (dacă sunt produse experimentale) trebuie să poată fi reproduse într-un sens larg în laboratoare oriunde în lume; (3) există o interacțiune de raționament inductiv (de la observația specifică și experimente) și deductiv (raționamentul din teorii pentru a explica rezultatele experimentale specifice); și (4), obiectivul lucrării este acela de a dezvolta legi generale, care devin parte a înțelegerii umanității cu privire la legile naturale (cum ar fi teoria gravitației dezvoltată de Isaac Newton). Definiția unei teorii științifice, care este în general considerată a fi o paradigmă care este dovedită sau presupusă a fi adevărată. Știința se bazează pe ipoteze, care sunt  utilizate ca bază pentru cercetare sau argumente, și pot fi testate. Ipotezele dovedite sprijină și modulează teoria lor originară.</w:t>
      </w:r>
      <w:r w:rsidRPr="00D25ACA">
        <w:rPr>
          <w:rFonts w:eastAsia="Calibri"/>
          <w:sz w:val="24"/>
          <w:szCs w:val="24"/>
          <w:lang w:val="en-US"/>
        </w:rPr>
        <w:t xml:space="preserve"> </w:t>
      </w:r>
    </w:p>
    <w:p w:rsidR="00887C51" w:rsidRPr="00D25ACA" w:rsidRDefault="00887C51" w:rsidP="00887C51">
      <w:pPr>
        <w:pStyle w:val="BodyText"/>
        <w:tabs>
          <w:tab w:val="left" w:pos="5387"/>
        </w:tabs>
        <w:ind w:left="-180" w:right="-563"/>
        <w:rPr>
          <w:sz w:val="24"/>
          <w:szCs w:val="24"/>
        </w:rPr>
      </w:pPr>
      <w:r w:rsidRPr="00D25ACA">
        <w:rPr>
          <w:sz w:val="24"/>
          <w:szCs w:val="24"/>
        </w:rPr>
        <w:t xml:space="preserve"> Douglas J Futuyma în cartea sa </w:t>
      </w:r>
      <w:r w:rsidRPr="00D25ACA">
        <w:rPr>
          <w:i/>
          <w:sz w:val="24"/>
          <w:szCs w:val="24"/>
        </w:rPr>
        <w:t>Evolutionary Biology</w:t>
      </w:r>
      <w:r w:rsidRPr="00D25ACA">
        <w:rPr>
          <w:sz w:val="24"/>
          <w:szCs w:val="24"/>
        </w:rPr>
        <w:t xml:space="preserve"> face următoarea distincție:</w:t>
      </w:r>
    </w:p>
    <w:p w:rsidR="00887C51" w:rsidRPr="00D25ACA" w:rsidRDefault="00887C51" w:rsidP="00887C51">
      <w:pPr>
        <w:spacing w:after="0" w:line="240" w:lineRule="auto"/>
        <w:ind w:left="-180" w:right="-563" w:firstLine="567"/>
        <w:jc w:val="both"/>
        <w:rPr>
          <w:rFonts w:ascii="Times New Roman" w:hAnsi="Times New Roman"/>
          <w:i/>
          <w:sz w:val="24"/>
          <w:szCs w:val="24"/>
        </w:rPr>
      </w:pPr>
    </w:p>
    <w:p w:rsidR="00887C51" w:rsidRPr="00D25ACA" w:rsidRDefault="00887C51" w:rsidP="00887C51">
      <w:pPr>
        <w:spacing w:after="0" w:line="240" w:lineRule="auto"/>
        <w:ind w:left="-180" w:right="-563" w:firstLine="567"/>
        <w:jc w:val="both"/>
        <w:rPr>
          <w:rFonts w:ascii="Times New Roman" w:hAnsi="Times New Roman"/>
          <w:i/>
          <w:sz w:val="24"/>
          <w:szCs w:val="24"/>
        </w:rPr>
      </w:pPr>
      <w:r w:rsidRPr="00D25ACA">
        <w:rPr>
          <w:rFonts w:ascii="Times New Roman" w:hAnsi="Times New Roman"/>
          <w:i/>
          <w:sz w:val="24"/>
          <w:szCs w:val="24"/>
        </w:rPr>
        <w:t>În cel mai larg sens, evoluția este pur și simplu schimbare, și așa este omniprezentă; galaxii, limbi și sisteme politice toate evoluează. Evoluția biologică...este o schimbare a proprietăților populațiilor de organisme care depășesc durata de viata a unui singur individ. Ontogenia unui individ nu este considerată evoluție; organismele individuale nu evoluează. Schimbările din populații care sunt considerate de evoluţie sunt cele care sunt transmisibile prin materialul genetic de la o generație la alta. Evoluția biologică poate fi ușoară sau substanțială; ea cuprinde totul, de la ușoare modificări ale proporției diferitelor alele în cadrul unei populații (cum ar fi cele care determină tipuri de sânge) la modificarea succesivă, care au condus de la cel mai îndepărtat protoorganism la melci, albine, girafe, și păpădie</w:t>
      </w:r>
      <w:r w:rsidRPr="00D25ACA">
        <w:rPr>
          <w:rStyle w:val="FootnoteReference"/>
          <w:rFonts w:ascii="Times New Roman" w:hAnsi="Times New Roman"/>
          <w:sz w:val="24"/>
          <w:szCs w:val="24"/>
        </w:rPr>
        <w:footnoteReference w:id="82"/>
      </w:r>
      <w:r w:rsidRPr="00D25ACA">
        <w:rPr>
          <w:rFonts w:ascii="Times New Roman" w:hAnsi="Times New Roman"/>
          <w:i/>
          <w:sz w:val="24"/>
          <w:szCs w:val="24"/>
        </w:rPr>
        <w:t>.</w:t>
      </w:r>
    </w:p>
    <w:p w:rsidR="00887C51" w:rsidRPr="00D25ACA" w:rsidRDefault="00887C51" w:rsidP="00887C51">
      <w:pPr>
        <w:spacing w:after="0" w:line="240" w:lineRule="auto"/>
        <w:ind w:left="-180" w:right="-563" w:firstLine="567"/>
        <w:jc w:val="both"/>
        <w:rPr>
          <w:rFonts w:ascii="Times New Roman" w:hAnsi="Times New Roman"/>
          <w:i/>
          <w:sz w:val="24"/>
          <w:szCs w:val="24"/>
        </w:rPr>
      </w:pPr>
    </w:p>
    <w:p w:rsidR="00887C51" w:rsidRPr="00D25ACA" w:rsidRDefault="00887C51" w:rsidP="00887C51">
      <w:pPr>
        <w:spacing w:after="0" w:line="240" w:lineRule="auto"/>
        <w:ind w:left="-180" w:right="-563" w:firstLine="720"/>
        <w:jc w:val="both"/>
        <w:rPr>
          <w:rFonts w:ascii="Times New Roman" w:hAnsi="Times New Roman"/>
          <w:sz w:val="24"/>
          <w:szCs w:val="24"/>
        </w:rPr>
      </w:pPr>
      <w:r w:rsidRPr="00D25ACA">
        <w:rPr>
          <w:rFonts w:ascii="Times New Roman" w:hAnsi="Times New Roman"/>
          <w:sz w:val="24"/>
          <w:szCs w:val="24"/>
        </w:rPr>
        <w:t>Prin urmare evoluția biologică nu acționează asupra indivizilor, ci mai degrabă asupra populațiilor</w:t>
      </w:r>
      <w:r w:rsidRPr="00D25ACA">
        <w:rPr>
          <w:rStyle w:val="FootnoteReference"/>
          <w:rFonts w:ascii="Times New Roman" w:hAnsi="Times New Roman"/>
          <w:sz w:val="24"/>
          <w:szCs w:val="24"/>
        </w:rPr>
        <w:footnoteReference w:id="83"/>
      </w:r>
      <w:r w:rsidRPr="00D25ACA">
        <w:rPr>
          <w:rFonts w:ascii="Times New Roman" w:hAnsi="Times New Roman"/>
          <w:sz w:val="24"/>
          <w:szCs w:val="24"/>
        </w:rPr>
        <w:t xml:space="preserve">.  O populație acționează în mod esențial ca o colecție de gene și genotipuri care evoluează, iar evoluția populației poate fi exprimată ca o modificare a frecvenței anumitor gene și genotipuri din populație. De exemplu, prevalența persoanelor cu pielea mai deschisă, în zonele cu climă de praf și a persoanele cu pielea mai închisă într-un climat însorit a rezultat dintr-o selecție de combinații de gene de echilibrare a deficitului de vitamina D și de protecție împotriva mutațiilor induse de lumină UV; dat fiind că nici una dintre aceste probleme nu este imediat letală și se opun reciproc între ele, presiunea de selecție de-a lungul mai multor generații duce la gradientul culorii pielii între Africa ecuatoriala și Suedia.  </w:t>
      </w:r>
    </w:p>
    <w:p w:rsidR="00887C51" w:rsidRPr="00D25ACA" w:rsidRDefault="00887C51" w:rsidP="00887C51">
      <w:pPr>
        <w:spacing w:after="0" w:line="240" w:lineRule="auto"/>
        <w:ind w:left="-180" w:right="-563" w:firstLine="720"/>
        <w:jc w:val="both"/>
        <w:rPr>
          <w:rFonts w:ascii="Times New Roman" w:hAnsi="Times New Roman"/>
          <w:sz w:val="24"/>
          <w:szCs w:val="24"/>
        </w:rPr>
      </w:pPr>
      <w:r w:rsidRPr="00D25ACA">
        <w:rPr>
          <w:rFonts w:ascii="Times New Roman" w:hAnsi="Times New Roman"/>
          <w:sz w:val="24"/>
          <w:szCs w:val="24"/>
        </w:rPr>
        <w:lastRenderedPageBreak/>
        <w:t xml:space="preserve"> În pofida recentelor provocări</w:t>
      </w:r>
      <w:r w:rsidRPr="00D25ACA">
        <w:rPr>
          <w:rStyle w:val="FootnoteReference"/>
          <w:rFonts w:ascii="Times New Roman" w:hAnsi="Times New Roman"/>
          <w:sz w:val="24"/>
          <w:szCs w:val="24"/>
        </w:rPr>
        <w:footnoteReference w:id="84"/>
      </w:r>
      <w:r w:rsidRPr="00D25ACA">
        <w:rPr>
          <w:rFonts w:ascii="Times New Roman" w:hAnsi="Times New Roman"/>
          <w:sz w:val="24"/>
          <w:szCs w:val="24"/>
        </w:rPr>
        <w:t xml:space="preserve">, precizează </w:t>
      </w:r>
      <w:r w:rsidRPr="00D25ACA">
        <w:rPr>
          <w:rFonts w:ascii="Times New Roman" w:hAnsi="Times New Roman"/>
          <w:color w:val="000000"/>
          <w:spacing w:val="2"/>
          <w:sz w:val="24"/>
          <w:szCs w:val="24"/>
          <w:lang w:eastAsia="ro-RO"/>
        </w:rPr>
        <w:t>Gayl</w:t>
      </w:r>
      <w:r w:rsidRPr="00D25ACA">
        <w:rPr>
          <w:rFonts w:ascii="Times New Roman" w:hAnsi="Times New Roman"/>
          <w:color w:val="000000"/>
          <w:sz w:val="24"/>
          <w:szCs w:val="24"/>
          <w:lang w:eastAsia="ro-RO"/>
        </w:rPr>
        <w:t>e</w:t>
      </w:r>
      <w:r w:rsidRPr="00D25ACA">
        <w:rPr>
          <w:rFonts w:ascii="Times New Roman" w:hAnsi="Times New Roman"/>
          <w:color w:val="000000"/>
          <w:spacing w:val="7"/>
          <w:sz w:val="24"/>
          <w:szCs w:val="24"/>
          <w:lang w:eastAsia="ro-RO"/>
        </w:rPr>
        <w:t xml:space="preserve"> E</w:t>
      </w:r>
      <w:r w:rsidRPr="00D25ACA">
        <w:rPr>
          <w:rFonts w:ascii="Times New Roman" w:hAnsi="Times New Roman"/>
          <w:color w:val="000000"/>
          <w:sz w:val="24"/>
          <w:szCs w:val="24"/>
          <w:lang w:eastAsia="ro-RO"/>
        </w:rPr>
        <w:t>.</w:t>
      </w:r>
      <w:r w:rsidRPr="00D25ACA">
        <w:rPr>
          <w:rFonts w:ascii="Times New Roman" w:hAnsi="Times New Roman"/>
          <w:color w:val="000000"/>
          <w:spacing w:val="9"/>
          <w:sz w:val="24"/>
          <w:szCs w:val="24"/>
          <w:lang w:eastAsia="ro-RO"/>
        </w:rPr>
        <w:t xml:space="preserve"> Woloscha</w:t>
      </w:r>
      <w:r w:rsidRPr="00D25ACA">
        <w:rPr>
          <w:rFonts w:ascii="Times New Roman" w:hAnsi="Times New Roman"/>
          <w:color w:val="000000"/>
          <w:sz w:val="24"/>
          <w:szCs w:val="24"/>
          <w:lang w:eastAsia="ro-RO"/>
        </w:rPr>
        <w:t>k,</w:t>
      </w:r>
      <w:r w:rsidRPr="00D25ACA">
        <w:rPr>
          <w:rFonts w:ascii="Times New Roman" w:hAnsi="Times New Roman"/>
          <w:sz w:val="24"/>
          <w:szCs w:val="24"/>
        </w:rPr>
        <w:t xml:space="preserve"> există un grad copleșitor de sprijin pentru evoluția biologică în literatura de specialitate, care provine din date de la proteine și ADN, de la fosile și din dosarele geologice, studii fiziologice și funcționale, și multe altele (a se vedea, de exemplu, orice manual de biologie utilizat în prezent în universități). Există o unitate în creație, viața pe pământ având în comun aceleași elemente (carbon, azot, urme de metale), aceleași procese (diviziunea celulara, replicarea si repararea ADN-ului, de transcriere a ARN-ului, traducere de proteine), chiar și același cod genetic</w:t>
      </w:r>
      <w:r w:rsidRPr="00D25ACA">
        <w:rPr>
          <w:rStyle w:val="FootnoteReference"/>
          <w:rFonts w:ascii="Times New Roman" w:hAnsi="Times New Roman"/>
          <w:sz w:val="24"/>
          <w:szCs w:val="24"/>
        </w:rPr>
        <w:footnoteReference w:id="85"/>
      </w:r>
      <w:r w:rsidRPr="00D25ACA">
        <w:rPr>
          <w:rFonts w:ascii="Times New Roman" w:hAnsi="Times New Roman"/>
          <w:sz w:val="24"/>
          <w:szCs w:val="24"/>
        </w:rPr>
        <w:t>.</w:t>
      </w:r>
    </w:p>
    <w:p w:rsidR="00887C51" w:rsidRPr="00D25ACA" w:rsidRDefault="00887C51" w:rsidP="00887C51">
      <w:pPr>
        <w:spacing w:after="0" w:line="240" w:lineRule="auto"/>
        <w:ind w:left="-180" w:right="-563" w:firstLine="720"/>
        <w:jc w:val="both"/>
        <w:rPr>
          <w:rFonts w:ascii="Times New Roman" w:hAnsi="Times New Roman"/>
          <w:sz w:val="24"/>
          <w:szCs w:val="24"/>
        </w:rPr>
      </w:pPr>
      <w:r w:rsidRPr="00D25ACA">
        <w:rPr>
          <w:rFonts w:ascii="Times New Roman" w:hAnsi="Times New Roman"/>
          <w:sz w:val="24"/>
          <w:szCs w:val="24"/>
        </w:rPr>
        <w:t xml:space="preserve"> Un </w:t>
      </w:r>
      <w:r w:rsidRPr="00D25ACA">
        <w:rPr>
          <w:rFonts w:ascii="Times New Roman" w:hAnsi="Times New Roman"/>
          <w:i/>
          <w:sz w:val="24"/>
          <w:szCs w:val="24"/>
        </w:rPr>
        <w:t>site</w:t>
      </w:r>
      <w:r w:rsidRPr="00D25ACA">
        <w:rPr>
          <w:rFonts w:ascii="Times New Roman" w:hAnsi="Times New Roman"/>
          <w:sz w:val="24"/>
          <w:szCs w:val="24"/>
        </w:rPr>
        <w:t xml:space="preserve"> ortodox</w:t>
      </w:r>
      <w:r w:rsidRPr="00D25ACA">
        <w:rPr>
          <w:rStyle w:val="FootnoteReference"/>
          <w:rFonts w:ascii="Times New Roman" w:hAnsi="Times New Roman"/>
          <w:sz w:val="24"/>
          <w:szCs w:val="24"/>
        </w:rPr>
        <w:footnoteReference w:id="86"/>
      </w:r>
      <w:r w:rsidRPr="00D25ACA">
        <w:rPr>
          <w:rFonts w:ascii="Times New Roman" w:hAnsi="Times New Roman"/>
          <w:sz w:val="24"/>
          <w:szCs w:val="24"/>
        </w:rPr>
        <w:t xml:space="preserve"> a grupat diferitele poziții din Ortodoxie în două categorii principale: (1) compatibiliṣti, care susțin că știința și teologia sunt compatibile și le consideră a fi complementare, Dumnezeu revelându-Se atât prin Sfânta Scriptură, cât și în creație, și (2) incompatibiliṣti, care susțin că știința este incompatibilă cu credința și susțin că știința este bazată pe un fel de naturalism, care este incompatibil cu orice religie, sau că revelația din Sfânta Scriptură este infailibilă în fiecare detaliu și prin urmare, înlocuiește orice s-ar putea găsi prin știință. Același </w:t>
      </w:r>
      <w:r w:rsidRPr="00D25ACA">
        <w:rPr>
          <w:rFonts w:ascii="Times New Roman" w:hAnsi="Times New Roman"/>
          <w:i/>
          <w:sz w:val="24"/>
          <w:szCs w:val="24"/>
        </w:rPr>
        <w:t>site</w:t>
      </w:r>
      <w:r w:rsidRPr="00D25ACA">
        <w:rPr>
          <w:rFonts w:ascii="Times New Roman" w:hAnsi="Times New Roman"/>
          <w:sz w:val="24"/>
          <w:szCs w:val="24"/>
        </w:rPr>
        <w:t xml:space="preserve"> oferă și o cuprinzătoare listă bibliografică, foarte utilă pentru dezvoltarea acestei problematici. </w:t>
      </w:r>
    </w:p>
    <w:p w:rsidR="00887C51" w:rsidRPr="00D25ACA" w:rsidRDefault="00887C51" w:rsidP="00887C51">
      <w:pPr>
        <w:spacing w:after="0" w:line="240" w:lineRule="auto"/>
        <w:ind w:left="-180" w:right="-563" w:firstLine="720"/>
        <w:jc w:val="both"/>
        <w:rPr>
          <w:rFonts w:ascii="Times New Roman" w:hAnsi="Times New Roman"/>
          <w:sz w:val="24"/>
          <w:szCs w:val="24"/>
        </w:rPr>
      </w:pPr>
      <w:r w:rsidRPr="00D25ACA">
        <w:rPr>
          <w:rFonts w:ascii="Times New Roman" w:hAnsi="Times New Roman"/>
          <w:sz w:val="24"/>
          <w:szCs w:val="24"/>
        </w:rPr>
        <w:t>Menționăm că printre cei din prima categorie se află și Teodosie Dobzhansky, fiu de preot ortodox, el însuși fiind un creștin ortodox practicant și un savant evoluționist. Teodosie Dobzhansky a dorit să limpezească lucrurile cand a afirmat:</w:t>
      </w:r>
    </w:p>
    <w:p w:rsidR="00887C51" w:rsidRPr="00D25ACA" w:rsidRDefault="00887C51" w:rsidP="00887C51">
      <w:pPr>
        <w:spacing w:after="0" w:line="240" w:lineRule="auto"/>
        <w:ind w:left="-180" w:right="-563" w:firstLine="720"/>
        <w:jc w:val="both"/>
        <w:rPr>
          <w:rFonts w:ascii="Times New Roman" w:hAnsi="Times New Roman"/>
          <w:sz w:val="24"/>
          <w:szCs w:val="24"/>
        </w:rPr>
      </w:pPr>
    </w:p>
    <w:p w:rsidR="00887C51" w:rsidRPr="00D25ACA" w:rsidRDefault="00887C51" w:rsidP="00887C51">
      <w:pPr>
        <w:spacing w:after="0" w:line="240" w:lineRule="auto"/>
        <w:ind w:left="-180" w:right="-563" w:firstLine="720"/>
        <w:jc w:val="both"/>
        <w:rPr>
          <w:rFonts w:ascii="Times New Roman" w:hAnsi="Times New Roman"/>
          <w:i/>
          <w:sz w:val="24"/>
          <w:szCs w:val="24"/>
        </w:rPr>
      </w:pPr>
      <w:r w:rsidRPr="00D25ACA">
        <w:rPr>
          <w:rFonts w:ascii="Times New Roman" w:hAnsi="Times New Roman"/>
          <w:i/>
          <w:sz w:val="24"/>
          <w:szCs w:val="24"/>
        </w:rPr>
        <w:t xml:space="preserve">Permiteti-mă să încerc să clarific ceea ce este stabilit dincolo de orice îndoială rezonabilă, și ceea ce are nevoie de un studiu mai aprofundat, în legătură cu evoluția. Evoluția ca un proces care a mers mereu în istoria Pământului poate fi pusă la îndoială numai de către cei care nu cunosc dovezile sau rezista la probe, din cauza blocajelor emoționale sau bigotism simplu. În schimb, mecanismele prin care apare evoluția cu siguranță că au nevoie de studiu și de clarificare. Nu există alternative la evoluția ca istorie care să reziste la examinare critică. Totuși, noi învățăm în mod constant fapte noi și importante despre mecanismele evolutive </w:t>
      </w:r>
      <w:r w:rsidRPr="00D25ACA">
        <w:rPr>
          <w:rStyle w:val="FootnoteReference"/>
          <w:rFonts w:ascii="Times New Roman" w:hAnsi="Times New Roman"/>
          <w:sz w:val="24"/>
          <w:szCs w:val="24"/>
        </w:rPr>
        <w:footnoteReference w:id="87"/>
      </w:r>
      <w:r w:rsidRPr="00D25ACA">
        <w:rPr>
          <w:rFonts w:ascii="Times New Roman" w:hAnsi="Times New Roman"/>
          <w:i/>
          <w:sz w:val="24"/>
          <w:szCs w:val="24"/>
        </w:rPr>
        <w:t>.</w:t>
      </w:r>
    </w:p>
    <w:p w:rsidR="00887C51" w:rsidRPr="00D25ACA" w:rsidRDefault="00887C51" w:rsidP="00887C51">
      <w:pPr>
        <w:pStyle w:val="BodyText"/>
        <w:tabs>
          <w:tab w:val="left" w:pos="5387"/>
        </w:tabs>
        <w:ind w:left="-180" w:right="-563"/>
        <w:rPr>
          <w:sz w:val="24"/>
          <w:szCs w:val="24"/>
        </w:rPr>
      </w:pPr>
    </w:p>
    <w:p w:rsidR="00887C51" w:rsidRPr="00D25ACA" w:rsidRDefault="00887C51" w:rsidP="00887C51">
      <w:pPr>
        <w:pStyle w:val="BodyText"/>
        <w:tabs>
          <w:tab w:val="left" w:pos="5387"/>
        </w:tabs>
        <w:ind w:left="-180" w:right="-563"/>
        <w:rPr>
          <w:i/>
          <w:sz w:val="24"/>
          <w:szCs w:val="24"/>
        </w:rPr>
      </w:pPr>
      <w:r w:rsidRPr="00D25ACA">
        <w:rPr>
          <w:sz w:val="24"/>
          <w:szCs w:val="24"/>
        </w:rPr>
        <w:t xml:space="preserve">Riscul de a ne aventura în domenii pe care nu le stăpânim este semnalat de </w:t>
      </w:r>
      <w:r w:rsidRPr="00D25ACA">
        <w:rPr>
          <w:color w:val="000000"/>
          <w:spacing w:val="2"/>
          <w:sz w:val="24"/>
          <w:szCs w:val="24"/>
          <w:lang w:eastAsia="ro-RO"/>
        </w:rPr>
        <w:t>Gayl</w:t>
      </w:r>
      <w:r w:rsidRPr="00D25ACA">
        <w:rPr>
          <w:color w:val="000000"/>
          <w:sz w:val="24"/>
          <w:szCs w:val="24"/>
          <w:lang w:eastAsia="ro-RO"/>
        </w:rPr>
        <w:t>e</w:t>
      </w:r>
      <w:r w:rsidRPr="00D25ACA">
        <w:rPr>
          <w:color w:val="000000"/>
          <w:spacing w:val="7"/>
          <w:sz w:val="24"/>
          <w:szCs w:val="24"/>
          <w:lang w:eastAsia="ro-RO"/>
        </w:rPr>
        <w:t xml:space="preserve"> E</w:t>
      </w:r>
      <w:r w:rsidRPr="00D25ACA">
        <w:rPr>
          <w:color w:val="000000"/>
          <w:sz w:val="24"/>
          <w:szCs w:val="24"/>
          <w:lang w:eastAsia="ro-RO"/>
        </w:rPr>
        <w:t>.</w:t>
      </w:r>
      <w:r w:rsidRPr="00D25ACA">
        <w:rPr>
          <w:color w:val="000000"/>
          <w:spacing w:val="9"/>
          <w:sz w:val="24"/>
          <w:szCs w:val="24"/>
          <w:lang w:eastAsia="ro-RO"/>
        </w:rPr>
        <w:t xml:space="preserve"> Woloscha</w:t>
      </w:r>
      <w:r w:rsidRPr="00D25ACA">
        <w:rPr>
          <w:color w:val="000000"/>
          <w:sz w:val="24"/>
          <w:szCs w:val="24"/>
          <w:lang w:eastAsia="ro-RO"/>
        </w:rPr>
        <w:t xml:space="preserve">k prin referința la cartea </w:t>
      </w:r>
      <w:r w:rsidRPr="00D25ACA">
        <w:rPr>
          <w:i/>
          <w:sz w:val="24"/>
          <w:szCs w:val="24"/>
        </w:rPr>
        <w:t>Metafizica postmodernă</w:t>
      </w:r>
      <w:r w:rsidRPr="00D25ACA">
        <w:rPr>
          <w:rStyle w:val="FootnoteReference"/>
          <w:sz w:val="24"/>
          <w:szCs w:val="24"/>
        </w:rPr>
        <w:footnoteReference w:id="88"/>
      </w:r>
      <w:r w:rsidRPr="00D25ACA">
        <w:rPr>
          <w:i/>
          <w:sz w:val="24"/>
          <w:szCs w:val="24"/>
        </w:rPr>
        <w:t>,</w:t>
      </w:r>
      <w:r w:rsidRPr="00D25ACA">
        <w:rPr>
          <w:sz w:val="24"/>
          <w:szCs w:val="24"/>
        </w:rPr>
        <w:t xml:space="preserve"> scrisă de Ch. Yannaras, un autor ortodox considerat a fi compatibilist. Mare parte din lucrare se referă la o mai bună înțelegere a fizicii și a relației sale cu știința, religia și lumea modernă. Evoluția biologică este, de asemenea, menționată, Yannaras susținând că Dumnezeu este Cauza principală a tuturor lucrurilor, universul fiind mai degrabă  cauzat  decât creat (</w:t>
      </w:r>
      <w:r w:rsidRPr="00D25ACA">
        <w:rPr>
          <w:i/>
          <w:sz w:val="24"/>
          <w:szCs w:val="24"/>
        </w:rPr>
        <w:t>sic</w:t>
      </w:r>
      <w:r w:rsidRPr="00D25ACA">
        <w:rPr>
          <w:sz w:val="24"/>
          <w:szCs w:val="24"/>
        </w:rPr>
        <w:t xml:space="preserve">!). Dar, subliniază </w:t>
      </w:r>
      <w:r w:rsidRPr="00D25ACA">
        <w:rPr>
          <w:color w:val="000000"/>
          <w:spacing w:val="2"/>
          <w:sz w:val="24"/>
          <w:szCs w:val="24"/>
          <w:lang w:eastAsia="ro-RO"/>
        </w:rPr>
        <w:t>Gayl</w:t>
      </w:r>
      <w:r w:rsidRPr="00D25ACA">
        <w:rPr>
          <w:color w:val="000000"/>
          <w:sz w:val="24"/>
          <w:szCs w:val="24"/>
          <w:lang w:eastAsia="ro-RO"/>
        </w:rPr>
        <w:t>e</w:t>
      </w:r>
      <w:r w:rsidRPr="00D25ACA">
        <w:rPr>
          <w:color w:val="000000"/>
          <w:spacing w:val="7"/>
          <w:sz w:val="24"/>
          <w:szCs w:val="24"/>
          <w:lang w:eastAsia="ro-RO"/>
        </w:rPr>
        <w:t xml:space="preserve"> E</w:t>
      </w:r>
      <w:r w:rsidRPr="00D25ACA">
        <w:rPr>
          <w:color w:val="000000"/>
          <w:sz w:val="24"/>
          <w:szCs w:val="24"/>
          <w:lang w:eastAsia="ro-RO"/>
        </w:rPr>
        <w:t>.</w:t>
      </w:r>
      <w:r w:rsidRPr="00D25ACA">
        <w:rPr>
          <w:color w:val="000000"/>
          <w:spacing w:val="9"/>
          <w:sz w:val="24"/>
          <w:szCs w:val="24"/>
          <w:lang w:eastAsia="ro-RO"/>
        </w:rPr>
        <w:t xml:space="preserve"> Woloscha</w:t>
      </w:r>
      <w:r w:rsidRPr="00D25ACA">
        <w:rPr>
          <w:color w:val="000000"/>
          <w:sz w:val="24"/>
          <w:szCs w:val="24"/>
          <w:lang w:eastAsia="ro-RO"/>
        </w:rPr>
        <w:t>k</w:t>
      </w:r>
      <w:r w:rsidRPr="00D25ACA">
        <w:rPr>
          <w:sz w:val="24"/>
          <w:szCs w:val="24"/>
        </w:rPr>
        <w:t xml:space="preserve">, în special cu privire la evoluția biologică, opiniile autorului grec  nu reflectă o înțelegere clară a științei. Într-o secțiune, Yannaras enumeră 35 de puncte pe care el le numește „Pozitia logică a teoriei evoluţiei biologice”, dar multe dintre aspectele discutate nu sunt exacte din punct de vedere științific, și, ca urmare, multe dintre argumentele sale nu sunt valabile. De exemplu, la punctul la doilea el afirmă: „Teoria evoluționistă spune că spiritul uman nu constituie o discontinuitate </w:t>
      </w:r>
      <w:r w:rsidRPr="00D25ACA">
        <w:rPr>
          <w:sz w:val="24"/>
          <w:szCs w:val="24"/>
        </w:rPr>
        <w:lastRenderedPageBreak/>
        <w:t>în evoluția ființelor vii”</w:t>
      </w:r>
      <w:r w:rsidRPr="00D25ACA">
        <w:rPr>
          <w:rStyle w:val="FootnoteReference"/>
          <w:sz w:val="24"/>
          <w:szCs w:val="24"/>
        </w:rPr>
        <w:footnoteReference w:id="89"/>
      </w:r>
      <w:r w:rsidRPr="00D25ACA">
        <w:rPr>
          <w:sz w:val="24"/>
          <w:szCs w:val="24"/>
        </w:rPr>
        <w:t>. Acest lucru nu este exact deoarece,  teoria evoluționistă nu vorbește despre spirit, și este o greșeală de a face presupuneri bazate pe această „omisiune”. În altă parte, la punctul al șaselea, Yannaras trage o serie de concluzii legând auto-conservarea și supraviețuirea celui mai adaptat de evoluția creierului uman. Declarațiile sale nu urmăresc logica, pentru că în evoluția biologică supraviețuirea celui mai puternic se bazează pe supraviețuirea populațiilor, și nu este cu adevărat legată de auto-conservare, ci mai degrabă de instinctele de reproducere. De fapt, în natură există multe exemple de părinți sau frați care mor ca protectori ai altor membri ai speciei respective. Selecția naturală conduce supraviețuirea speciei prin (re)modelarea unei populații, crearea de noi structuri genetice populaționale, mai degraba decat uciderea (sau nu) a unui anumit individ. Yannaras preia conceptele de șansă și de necesitate utilizate de către alții (a se vedea, de exemplu, Peacocke</w:t>
      </w:r>
      <w:r w:rsidRPr="00D25ACA">
        <w:rPr>
          <w:rStyle w:val="FootnoteReference"/>
          <w:sz w:val="24"/>
          <w:szCs w:val="24"/>
        </w:rPr>
        <w:footnoteReference w:id="90"/>
      </w:r>
      <w:r w:rsidRPr="00D25ACA">
        <w:rPr>
          <w:sz w:val="24"/>
          <w:szCs w:val="24"/>
        </w:rPr>
        <w:t xml:space="preserve">), dar din nou înțelegerea acestor concepte nu este foarte precisă dintr-o perspectivă științifică, în special în ceea ce privește rolul hazardului în evoluție și creație: </w:t>
      </w:r>
      <w:r w:rsidRPr="00D25ACA">
        <w:rPr>
          <w:i/>
          <w:sz w:val="24"/>
          <w:szCs w:val="24"/>
        </w:rPr>
        <w:t>„Lumea ca un produs al hazardului este o teză contradictorie. Aceasta propune inexplicabilul ca explicație și interpretează un nonsens ca sens”</w:t>
      </w:r>
      <w:r w:rsidRPr="00D25ACA">
        <w:rPr>
          <w:rStyle w:val="FootnoteReference"/>
          <w:i/>
          <w:sz w:val="24"/>
          <w:szCs w:val="24"/>
        </w:rPr>
        <w:footnoteReference w:id="91"/>
      </w:r>
      <w:r w:rsidRPr="00D25ACA">
        <w:rPr>
          <w:i/>
          <w:sz w:val="24"/>
          <w:szCs w:val="24"/>
        </w:rPr>
        <w:t>.</w:t>
      </w:r>
    </w:p>
    <w:p w:rsidR="00887C51" w:rsidRPr="00D25ACA" w:rsidRDefault="00887C51" w:rsidP="00887C51">
      <w:pPr>
        <w:pStyle w:val="BodyText"/>
        <w:tabs>
          <w:tab w:val="left" w:pos="5387"/>
        </w:tabs>
        <w:ind w:left="-180" w:right="-563"/>
        <w:rPr>
          <w:sz w:val="24"/>
          <w:szCs w:val="24"/>
        </w:rPr>
      </w:pPr>
      <w:r w:rsidRPr="00D25ACA">
        <w:rPr>
          <w:sz w:val="24"/>
          <w:szCs w:val="24"/>
        </w:rPr>
        <w:t>Dar, în biologia evoluționistă precum și în științele de bază non-biologice, termenul „șansă” se referă la un fenomen sub observație care poate fi asociat cu un anumit grad de probabilitate. „Șansa” nu este inexplicabilă sau lipsită de sens, aceasta depinde de situația anterioară din care mai multe căi sunt deschise, fiecare cu propria probabilitate. Poate că s-ar putea chiar argumenta că șansa dispune de un fundament teologic ferm în conceptul de libertate în mod divin prescrisă, care este atât de înrădăcinată în Ortodoxie. Yannaras a contribuit foarte mult la discuțiile teologice și culturale, punând teologia în contextul post-modernismului, al gândirii occidentale</w:t>
      </w:r>
      <w:r w:rsidRPr="00D25ACA">
        <w:rPr>
          <w:rStyle w:val="FootnoteReference"/>
          <w:sz w:val="24"/>
          <w:szCs w:val="24"/>
        </w:rPr>
        <w:footnoteReference w:id="92"/>
      </w:r>
      <w:r w:rsidRPr="00D25ACA">
        <w:rPr>
          <w:sz w:val="24"/>
          <w:szCs w:val="24"/>
        </w:rPr>
        <w:t>, dar încercarea de a plasa teologia în contextul gândirii științifice moderne este eronată prin faptul că el nu are o înțelegere clară a fenomenului științific și, prin urmare, nu îl poate critica în mod adecvat</w:t>
      </w:r>
      <w:r w:rsidRPr="00D25ACA">
        <w:rPr>
          <w:rStyle w:val="FootnoteReference"/>
          <w:sz w:val="24"/>
          <w:szCs w:val="24"/>
        </w:rPr>
        <w:footnoteReference w:id="93"/>
      </w:r>
      <w:r w:rsidRPr="00D25ACA">
        <w:rPr>
          <w:sz w:val="24"/>
          <w:szCs w:val="24"/>
        </w:rPr>
        <w:t>.</w:t>
      </w:r>
    </w:p>
    <w:p w:rsidR="00887C51" w:rsidRPr="00D25ACA" w:rsidRDefault="00887C51" w:rsidP="00887C51">
      <w:pPr>
        <w:pStyle w:val="BodyText"/>
        <w:tabs>
          <w:tab w:val="left" w:pos="5387"/>
        </w:tabs>
        <w:ind w:left="-180" w:right="-563"/>
        <w:rPr>
          <w:sz w:val="24"/>
          <w:szCs w:val="24"/>
        </w:rPr>
      </w:pPr>
      <w:r w:rsidRPr="00D25ACA">
        <w:rPr>
          <w:sz w:val="24"/>
          <w:szCs w:val="24"/>
        </w:rPr>
        <w:t xml:space="preserve">Progresul în cercetarea științifică este impresionant, s-a încheiat în anul 2003 și </w:t>
      </w:r>
      <w:r w:rsidRPr="00D25ACA">
        <w:rPr>
          <w:i/>
          <w:sz w:val="24"/>
          <w:szCs w:val="24"/>
        </w:rPr>
        <w:t>Proiectul Genomului Uman</w:t>
      </w:r>
      <w:r w:rsidRPr="00D25ACA">
        <w:rPr>
          <w:rStyle w:val="FootnoteReference"/>
          <w:i/>
          <w:sz w:val="24"/>
          <w:szCs w:val="24"/>
        </w:rPr>
        <w:footnoteReference w:id="94"/>
      </w:r>
      <w:r w:rsidRPr="00D25ACA">
        <w:rPr>
          <w:i/>
          <w:sz w:val="24"/>
          <w:szCs w:val="24"/>
        </w:rPr>
        <w:t xml:space="preserve">. </w:t>
      </w:r>
      <w:r w:rsidRPr="00D25ACA">
        <w:rPr>
          <w:sz w:val="24"/>
          <w:szCs w:val="24"/>
        </w:rPr>
        <w:t>Francis S.Collins, directorul acestui măreț proiect, a coordonat activitatea mai multor mii de geneticieni din șase țări</w:t>
      </w:r>
      <w:r w:rsidRPr="00D25ACA">
        <w:rPr>
          <w:rStyle w:val="FootnoteReference"/>
          <w:sz w:val="24"/>
          <w:szCs w:val="24"/>
        </w:rPr>
        <w:footnoteReference w:id="95"/>
      </w:r>
      <w:r w:rsidRPr="00D25ACA">
        <w:rPr>
          <w:sz w:val="24"/>
          <w:szCs w:val="24"/>
        </w:rPr>
        <w:t>. S-a format ca agnostic, a devenit ateu convins în perioada studiilor de doctorat în chimie, dar după ce a urmat studiile de medicină și a devenit specialist în genetică medicală,  a descoperit adevărata putere a credinței religioase la pacienții săi, și, de aceea, a început să își schimbe concepția despre lume, și să devină un om credincios</w:t>
      </w:r>
      <w:r w:rsidRPr="00D25ACA">
        <w:rPr>
          <w:rStyle w:val="FootnoteReference"/>
          <w:sz w:val="24"/>
          <w:szCs w:val="24"/>
        </w:rPr>
        <w:footnoteReference w:id="96"/>
      </w:r>
      <w:r w:rsidRPr="00D25ACA">
        <w:rPr>
          <w:sz w:val="24"/>
          <w:szCs w:val="24"/>
        </w:rPr>
        <w:t xml:space="preserve">. </w:t>
      </w:r>
      <w:r w:rsidRPr="00D25ACA">
        <w:rPr>
          <w:i/>
          <w:sz w:val="24"/>
          <w:szCs w:val="24"/>
        </w:rPr>
        <w:tab/>
      </w:r>
    </w:p>
    <w:p w:rsidR="00887C51" w:rsidRPr="00D25ACA" w:rsidRDefault="00887C51" w:rsidP="00887C51">
      <w:pPr>
        <w:pStyle w:val="BodyText"/>
        <w:tabs>
          <w:tab w:val="left" w:pos="5387"/>
        </w:tabs>
        <w:ind w:left="-180" w:right="-563"/>
        <w:rPr>
          <w:sz w:val="24"/>
          <w:szCs w:val="24"/>
        </w:rPr>
      </w:pPr>
      <w:r w:rsidRPr="00D25ACA">
        <w:rPr>
          <w:sz w:val="24"/>
          <w:szCs w:val="24"/>
        </w:rPr>
        <w:t xml:space="preserve">ADN-ul uman este împachetat în două seturi a câte 23 de cromozommi, câte un set fiind moștenit de la fiecare părinte. Numărul total de litere ale ADN-ului ( cele patru nucleotide reprezentate de A- </w:t>
      </w:r>
      <w:r w:rsidRPr="00D25ACA">
        <w:rPr>
          <w:bCs/>
          <w:color w:val="000000"/>
          <w:sz w:val="24"/>
          <w:szCs w:val="24"/>
          <w:bdr w:val="none" w:sz="0" w:space="0" w:color="auto" w:frame="1"/>
          <w:lang w:eastAsia="ro-RO"/>
        </w:rPr>
        <w:lastRenderedPageBreak/>
        <w:t>adenina</w:t>
      </w:r>
      <w:r w:rsidRPr="00D25ACA">
        <w:rPr>
          <w:sz w:val="24"/>
          <w:szCs w:val="24"/>
        </w:rPr>
        <w:t xml:space="preserve">, C- </w:t>
      </w:r>
      <w:r w:rsidRPr="00D25ACA">
        <w:rPr>
          <w:color w:val="000000"/>
          <w:sz w:val="24"/>
          <w:szCs w:val="24"/>
          <w:bdr w:val="none" w:sz="0" w:space="0" w:color="auto" w:frame="1"/>
          <w:lang w:eastAsia="ro-RO"/>
        </w:rPr>
        <w:t>citozina</w:t>
      </w:r>
      <w:r w:rsidRPr="00D25ACA">
        <w:rPr>
          <w:sz w:val="24"/>
          <w:szCs w:val="24"/>
        </w:rPr>
        <w:t xml:space="preserve">, G- </w:t>
      </w:r>
      <w:r w:rsidRPr="00D25ACA">
        <w:rPr>
          <w:color w:val="000000"/>
          <w:sz w:val="24"/>
          <w:szCs w:val="24"/>
          <w:bdr w:val="none" w:sz="0" w:space="0" w:color="auto" w:frame="1"/>
          <w:lang w:eastAsia="ro-RO"/>
        </w:rPr>
        <w:t>guanina</w:t>
      </w:r>
      <w:r w:rsidRPr="00D25ACA">
        <w:rPr>
          <w:sz w:val="24"/>
          <w:szCs w:val="24"/>
        </w:rPr>
        <w:t xml:space="preserve">, T- </w:t>
      </w:r>
      <w:r w:rsidRPr="00D25ACA">
        <w:rPr>
          <w:color w:val="000000"/>
          <w:sz w:val="24"/>
          <w:szCs w:val="24"/>
          <w:bdr w:val="none" w:sz="0" w:space="0" w:color="auto" w:frame="1"/>
          <w:lang w:eastAsia="ro-RO"/>
        </w:rPr>
        <w:t xml:space="preserve">timina) din fiecare set de cromozomi este de aproape 3 miliarde. Tipărirea informației complete a unui genom al unui singur individ, </w:t>
      </w:r>
      <w:r w:rsidRPr="00D25ACA">
        <w:rPr>
          <w:sz w:val="24"/>
          <w:szCs w:val="24"/>
        </w:rPr>
        <w:t>ar însemna cam 2000 de volume a 1000 de pagini, cu 500 de cuvinte pe pagină!</w:t>
      </w:r>
      <w:r w:rsidRPr="00D25ACA">
        <w:rPr>
          <w:rStyle w:val="FootnoteReference"/>
          <w:sz w:val="24"/>
          <w:szCs w:val="24"/>
        </w:rPr>
        <w:footnoteReference w:id="97"/>
      </w:r>
    </w:p>
    <w:p w:rsidR="00887C51" w:rsidRPr="00D25ACA" w:rsidRDefault="00887C51" w:rsidP="00887C51">
      <w:pPr>
        <w:pStyle w:val="BodyText"/>
        <w:tabs>
          <w:tab w:val="left" w:pos="5387"/>
        </w:tabs>
        <w:ind w:left="-180" w:right="-563"/>
        <w:rPr>
          <w:sz w:val="24"/>
          <w:szCs w:val="24"/>
        </w:rPr>
      </w:pPr>
      <w:r w:rsidRPr="00D25ACA">
        <w:rPr>
          <w:sz w:val="24"/>
          <w:szCs w:val="24"/>
        </w:rPr>
        <w:t>Francis S. Collins se minunează de „complexitatea informației conținute în fiecare celulă a corpului uman, întrucât citirea cu voce tare a acestui cod într-un ritm de trei litere pe secundă ar necesita treizeci și unu de ani, chiar dacă lectura ar continua zi și noapte! Iar dacă aceste litere ar fi scrise în  mărime normală pe hârtie de scris obișnuită și toate paginile ar fi puse cap la cap, ar forma un turn de înălțimea Monumentului Washington (169m)”</w:t>
      </w:r>
      <w:r w:rsidRPr="00D25ACA">
        <w:rPr>
          <w:rStyle w:val="FootnoteReference"/>
          <w:sz w:val="24"/>
          <w:szCs w:val="24"/>
        </w:rPr>
        <w:footnoteReference w:id="98"/>
      </w:r>
      <w:r w:rsidRPr="00D25ACA">
        <w:rPr>
          <w:sz w:val="24"/>
          <w:szCs w:val="24"/>
        </w:rPr>
        <w:t xml:space="preserve">. </w:t>
      </w:r>
    </w:p>
    <w:p w:rsidR="00887C51" w:rsidRPr="00D25ACA" w:rsidRDefault="00887C51" w:rsidP="00887C51">
      <w:pPr>
        <w:pStyle w:val="BodyText"/>
        <w:tabs>
          <w:tab w:val="left" w:pos="5387"/>
        </w:tabs>
        <w:ind w:left="-180" w:right="-563"/>
        <w:rPr>
          <w:sz w:val="24"/>
          <w:szCs w:val="24"/>
        </w:rPr>
      </w:pPr>
      <w:r w:rsidRPr="00D25ACA">
        <w:rPr>
          <w:sz w:val="24"/>
          <w:szCs w:val="24"/>
        </w:rPr>
        <w:t>În iulie 2001, Francis S.Collins se afla la Casa Albă împreună cu Bill Clinton, președintele de atunci al Statelor Unite ale Americii, și cu alte personalități, pentru a anunța întrega lume că s-a cartografiat genomul uman: „fără îndoiala, cea mai importantă și mai impresionantă hartă întocmită vreodată de omenire”. Spre surprinderea unora, discursul presedintelui american a trecut de la perspectiva științifică la cea spirituală:</w:t>
      </w:r>
    </w:p>
    <w:p w:rsidR="00887C51" w:rsidRPr="00D25ACA" w:rsidRDefault="00887C51" w:rsidP="00887C51">
      <w:pPr>
        <w:pStyle w:val="BodyText"/>
        <w:tabs>
          <w:tab w:val="left" w:pos="5387"/>
        </w:tabs>
        <w:ind w:left="-180" w:right="-563"/>
        <w:rPr>
          <w:sz w:val="24"/>
          <w:szCs w:val="24"/>
        </w:rPr>
      </w:pPr>
      <w:r w:rsidRPr="00D25ACA">
        <w:rPr>
          <w:sz w:val="24"/>
          <w:szCs w:val="24"/>
        </w:rPr>
        <w:t xml:space="preserve"> „</w:t>
      </w:r>
      <w:r w:rsidRPr="00D25ACA">
        <w:rPr>
          <w:i/>
          <w:sz w:val="24"/>
          <w:szCs w:val="24"/>
        </w:rPr>
        <w:t>Astăzi învățăm limba în care Dumnezeu a creat viața. Suntem cu atât mai copleșiți de uimire și venerație în fața complexității, a frumuseții și a minunii darului celui mai sfânt și dumnezeiesc al lui Dumnezeu</w:t>
      </w:r>
      <w:r w:rsidRPr="00D25ACA">
        <w:rPr>
          <w:sz w:val="24"/>
          <w:szCs w:val="24"/>
        </w:rPr>
        <w:t>”</w:t>
      </w:r>
      <w:r w:rsidRPr="00D25ACA">
        <w:rPr>
          <w:rStyle w:val="FootnoteReference"/>
          <w:sz w:val="24"/>
          <w:szCs w:val="24"/>
        </w:rPr>
        <w:footnoteReference w:id="99"/>
      </w:r>
      <w:r w:rsidRPr="00D25ACA">
        <w:rPr>
          <w:sz w:val="24"/>
          <w:szCs w:val="24"/>
        </w:rPr>
        <w:t xml:space="preserve">.   </w:t>
      </w:r>
    </w:p>
    <w:p w:rsidR="00887C51" w:rsidRPr="00D25ACA" w:rsidRDefault="00887C51" w:rsidP="00887C51">
      <w:pPr>
        <w:pStyle w:val="BodyText"/>
        <w:tabs>
          <w:tab w:val="left" w:pos="5387"/>
        </w:tabs>
        <w:ind w:left="-180" w:right="-563"/>
        <w:rPr>
          <w:sz w:val="24"/>
          <w:szCs w:val="24"/>
        </w:rPr>
      </w:pPr>
      <w:r w:rsidRPr="00D25ACA">
        <w:rPr>
          <w:sz w:val="24"/>
          <w:szCs w:val="24"/>
        </w:rPr>
        <w:t xml:space="preserve"> Asemenea lui F. J. Ayala, și Francis S. Collins susține că: „credința în Dumnezeu poate fi o alegere perfect rațională, și că principiile credinței sunt, de fapt, complementare cu principiile științei”, prin urmare un om de știință riguros poate fi și un om autentic religios care să creadă într-un Dumnezeu transcendent; chiar pentru marele savant american, decriptarea genomului uman a însemnat atât „o realizare științifică extraordinară, cât și o ocazie de venerare a lui Dumnezeu”</w:t>
      </w:r>
      <w:r w:rsidRPr="00D25ACA">
        <w:rPr>
          <w:rStyle w:val="FootnoteReference"/>
          <w:sz w:val="24"/>
          <w:szCs w:val="24"/>
        </w:rPr>
        <w:footnoteReference w:id="100"/>
      </w:r>
      <w:r w:rsidRPr="00D25ACA">
        <w:rPr>
          <w:sz w:val="24"/>
          <w:szCs w:val="24"/>
        </w:rPr>
        <w:t>.</w:t>
      </w:r>
    </w:p>
    <w:p w:rsidR="00887C51" w:rsidRPr="00D25ACA" w:rsidRDefault="00887C51" w:rsidP="00887C51">
      <w:pPr>
        <w:pStyle w:val="BodyText"/>
        <w:tabs>
          <w:tab w:val="left" w:pos="5387"/>
        </w:tabs>
        <w:ind w:left="-180" w:right="-563"/>
        <w:rPr>
          <w:sz w:val="24"/>
          <w:szCs w:val="24"/>
        </w:rPr>
      </w:pPr>
      <w:r w:rsidRPr="00D25ACA">
        <w:rPr>
          <w:sz w:val="24"/>
          <w:szCs w:val="24"/>
        </w:rPr>
        <w:t xml:space="preserve">În privința raportului dintre creadință și știință,  F.Collins menționează patru opțiuni: ateism și agnosticism; creaționism; planul inteligent; și BioLogos. Savantul pledează pentru a patra obțiune,  numită și </w:t>
      </w:r>
      <w:r w:rsidRPr="00D25ACA">
        <w:rPr>
          <w:i/>
          <w:sz w:val="24"/>
          <w:szCs w:val="24"/>
        </w:rPr>
        <w:t>evoluționism teist</w:t>
      </w:r>
      <w:r w:rsidRPr="00D25ACA">
        <w:rPr>
          <w:sz w:val="24"/>
          <w:szCs w:val="24"/>
        </w:rPr>
        <w:t>, care are la bază șase premise:</w:t>
      </w:r>
    </w:p>
    <w:p w:rsidR="00887C51" w:rsidRPr="00D25ACA" w:rsidRDefault="00887C51" w:rsidP="00887C51">
      <w:pPr>
        <w:pStyle w:val="BodyText"/>
        <w:tabs>
          <w:tab w:val="left" w:pos="5387"/>
        </w:tabs>
        <w:ind w:left="-180" w:right="-563"/>
        <w:rPr>
          <w:i/>
          <w:sz w:val="24"/>
          <w:szCs w:val="24"/>
        </w:rPr>
      </w:pPr>
    </w:p>
    <w:p w:rsidR="00887C51" w:rsidRPr="00D25ACA" w:rsidRDefault="00887C51" w:rsidP="00887C51">
      <w:pPr>
        <w:pStyle w:val="BodyText"/>
        <w:numPr>
          <w:ilvl w:val="0"/>
          <w:numId w:val="4"/>
        </w:numPr>
        <w:tabs>
          <w:tab w:val="left" w:pos="5387"/>
        </w:tabs>
        <w:ind w:right="-563"/>
        <w:rPr>
          <w:i/>
          <w:sz w:val="24"/>
          <w:szCs w:val="24"/>
        </w:rPr>
      </w:pPr>
      <w:r w:rsidRPr="00D25ACA">
        <w:rPr>
          <w:i/>
          <w:sz w:val="24"/>
          <w:szCs w:val="24"/>
        </w:rPr>
        <w:t>Universul a luat ființă din nimic, acum aproximativ paisprezece miliarde de ani.</w:t>
      </w:r>
    </w:p>
    <w:p w:rsidR="00887C51" w:rsidRPr="00D25ACA" w:rsidRDefault="00887C51" w:rsidP="00887C51">
      <w:pPr>
        <w:pStyle w:val="BodyText"/>
        <w:numPr>
          <w:ilvl w:val="0"/>
          <w:numId w:val="4"/>
        </w:numPr>
        <w:tabs>
          <w:tab w:val="left" w:pos="5387"/>
        </w:tabs>
        <w:ind w:right="-563"/>
        <w:rPr>
          <w:i/>
          <w:sz w:val="24"/>
          <w:szCs w:val="24"/>
        </w:rPr>
      </w:pPr>
      <w:r w:rsidRPr="00D25ACA">
        <w:rPr>
          <w:i/>
          <w:sz w:val="24"/>
          <w:szCs w:val="24"/>
        </w:rPr>
        <w:t>În pofida improbabilităților uriașe, proprietățile universului par să fi fost modelate cu precizie în vederea apariției vieții.</w:t>
      </w:r>
    </w:p>
    <w:p w:rsidR="00887C51" w:rsidRPr="00D25ACA" w:rsidRDefault="00887C51" w:rsidP="00887C51">
      <w:pPr>
        <w:pStyle w:val="BodyText"/>
        <w:numPr>
          <w:ilvl w:val="0"/>
          <w:numId w:val="4"/>
        </w:numPr>
        <w:tabs>
          <w:tab w:val="left" w:pos="5387"/>
        </w:tabs>
        <w:ind w:right="-563"/>
        <w:rPr>
          <w:i/>
          <w:sz w:val="24"/>
          <w:szCs w:val="24"/>
        </w:rPr>
      </w:pPr>
      <w:r w:rsidRPr="00D25ACA">
        <w:rPr>
          <w:i/>
          <w:sz w:val="24"/>
          <w:szCs w:val="24"/>
        </w:rPr>
        <w:t>Deși mecanismul exact al originii vieții pe Pământ rămâne necunoscut, odată apărută viața, procesul evoluției și selecției naturale a permis dezvoltarea diversității biologice și complexității de-a lungul a foarte lungi perioade de timp.</w:t>
      </w:r>
    </w:p>
    <w:p w:rsidR="00887C51" w:rsidRPr="00D25ACA" w:rsidRDefault="00887C51" w:rsidP="00887C51">
      <w:pPr>
        <w:pStyle w:val="BodyText"/>
        <w:numPr>
          <w:ilvl w:val="0"/>
          <w:numId w:val="4"/>
        </w:numPr>
        <w:tabs>
          <w:tab w:val="left" w:pos="5387"/>
        </w:tabs>
        <w:ind w:right="-563"/>
        <w:rPr>
          <w:i/>
          <w:sz w:val="24"/>
          <w:szCs w:val="24"/>
        </w:rPr>
      </w:pPr>
      <w:r w:rsidRPr="00D25ACA">
        <w:rPr>
          <w:i/>
          <w:sz w:val="24"/>
          <w:szCs w:val="24"/>
        </w:rPr>
        <w:t>Odată declașat procesul evoluției, nu a fost nevoie de nicio intervenție supranaturală specială</w:t>
      </w:r>
    </w:p>
    <w:p w:rsidR="00887C51" w:rsidRPr="00D25ACA" w:rsidRDefault="00887C51" w:rsidP="00887C51">
      <w:pPr>
        <w:pStyle w:val="BodyText"/>
        <w:numPr>
          <w:ilvl w:val="0"/>
          <w:numId w:val="4"/>
        </w:numPr>
        <w:tabs>
          <w:tab w:val="left" w:pos="5387"/>
        </w:tabs>
        <w:ind w:right="-563"/>
        <w:rPr>
          <w:i/>
          <w:sz w:val="24"/>
          <w:szCs w:val="24"/>
        </w:rPr>
      </w:pPr>
      <w:r w:rsidRPr="00D25ACA">
        <w:rPr>
          <w:i/>
          <w:sz w:val="24"/>
          <w:szCs w:val="24"/>
        </w:rPr>
        <w:t>Oamenii fac parte din acest proces, împărțind un strămoș comun cu primatele.</w:t>
      </w:r>
    </w:p>
    <w:p w:rsidR="00887C51" w:rsidRPr="00D25ACA" w:rsidRDefault="00887C51" w:rsidP="00887C51">
      <w:pPr>
        <w:pStyle w:val="BodyText"/>
        <w:numPr>
          <w:ilvl w:val="0"/>
          <w:numId w:val="4"/>
        </w:numPr>
        <w:tabs>
          <w:tab w:val="left" w:pos="5387"/>
        </w:tabs>
        <w:ind w:right="-563"/>
        <w:rPr>
          <w:i/>
          <w:sz w:val="24"/>
          <w:szCs w:val="24"/>
        </w:rPr>
      </w:pPr>
      <w:r w:rsidRPr="00D25ACA">
        <w:rPr>
          <w:i/>
          <w:sz w:val="24"/>
          <w:szCs w:val="24"/>
        </w:rPr>
        <w:t>Oamenii sunt unici într-un fel care sfidează explicațiile evoluționiste și dezvăluie natura noastră spirituală, care include existența Legii Morale (cunoașterea binelui și a răului) și căutarea lui Dumnezeu care caracterizează toate culturile umane de-a lungul istoriei</w:t>
      </w:r>
      <w:r w:rsidRPr="00D25ACA">
        <w:rPr>
          <w:rStyle w:val="FootnoteReference"/>
          <w:sz w:val="24"/>
          <w:szCs w:val="24"/>
        </w:rPr>
        <w:footnoteReference w:id="101"/>
      </w:r>
      <w:r w:rsidRPr="00D25ACA">
        <w:rPr>
          <w:i/>
          <w:sz w:val="24"/>
          <w:szCs w:val="24"/>
        </w:rPr>
        <w:t>.</w:t>
      </w:r>
    </w:p>
    <w:p w:rsidR="00887C51" w:rsidRPr="00D25ACA" w:rsidRDefault="00887C51" w:rsidP="00887C51">
      <w:pPr>
        <w:pStyle w:val="BodyText"/>
        <w:tabs>
          <w:tab w:val="left" w:pos="5387"/>
        </w:tabs>
        <w:ind w:left="747" w:right="-563" w:firstLine="0"/>
        <w:rPr>
          <w:sz w:val="24"/>
          <w:szCs w:val="24"/>
        </w:rPr>
      </w:pPr>
    </w:p>
    <w:p w:rsidR="00887C51" w:rsidRPr="00D25ACA" w:rsidRDefault="00887C51" w:rsidP="00887C51">
      <w:pPr>
        <w:pStyle w:val="BodyText"/>
        <w:tabs>
          <w:tab w:val="left" w:pos="5387"/>
        </w:tabs>
        <w:ind w:left="-142" w:right="-563" w:firstLine="0"/>
        <w:rPr>
          <w:sz w:val="24"/>
          <w:szCs w:val="24"/>
        </w:rPr>
      </w:pPr>
      <w:r w:rsidRPr="00D25ACA">
        <w:rPr>
          <w:sz w:val="24"/>
          <w:szCs w:val="24"/>
        </w:rPr>
        <w:t xml:space="preserve">          În mesajul adresat în anul 1996 Academiei Pontificale a Științelor, Papa Ioan Paul al II-lea a oferit „un discurs plin de profunzime și curaj în sprijinul evoluției teiste”</w:t>
      </w:r>
      <w:r w:rsidRPr="00D25ACA">
        <w:rPr>
          <w:rStyle w:val="FootnoteReference"/>
          <w:sz w:val="24"/>
          <w:szCs w:val="24"/>
        </w:rPr>
        <w:footnoteReference w:id="102"/>
      </w:r>
      <w:r w:rsidRPr="00D25ACA">
        <w:rPr>
          <w:sz w:val="24"/>
          <w:szCs w:val="24"/>
        </w:rPr>
        <w:t xml:space="preserve">. Papa a afirmat  că „noile descoperiri ne conduc către recunoașterea evoluției ca fiind mai mult decât o ipoteză”, dar, totodată a </w:t>
      </w:r>
      <w:r w:rsidRPr="00D25ACA">
        <w:rPr>
          <w:sz w:val="24"/>
          <w:szCs w:val="24"/>
        </w:rPr>
        <w:lastRenderedPageBreak/>
        <w:t>afirmat categoric că: „Dacă originea corpului uman vine din materia vie care a existat anterior, sufletul spiritual este creat de Dumnezeu”</w:t>
      </w:r>
      <w:r w:rsidRPr="00D25ACA">
        <w:rPr>
          <w:rStyle w:val="FootnoteReference"/>
          <w:sz w:val="24"/>
          <w:szCs w:val="24"/>
        </w:rPr>
        <w:footnoteReference w:id="103"/>
      </w:r>
      <w:r w:rsidRPr="00D25ACA">
        <w:rPr>
          <w:sz w:val="24"/>
          <w:szCs w:val="24"/>
        </w:rPr>
        <w:t>.</w:t>
      </w:r>
    </w:p>
    <w:p w:rsidR="00887C51" w:rsidRPr="00D25ACA" w:rsidRDefault="00887C51" w:rsidP="00887C51">
      <w:pPr>
        <w:pStyle w:val="BodyText"/>
        <w:tabs>
          <w:tab w:val="left" w:pos="5387"/>
        </w:tabs>
        <w:ind w:left="-180" w:right="-563"/>
        <w:rPr>
          <w:sz w:val="24"/>
          <w:szCs w:val="24"/>
        </w:rPr>
      </w:pPr>
      <w:r w:rsidRPr="00D25ACA">
        <w:rPr>
          <w:sz w:val="24"/>
          <w:szCs w:val="24"/>
        </w:rPr>
        <w:t xml:space="preserve">În privința punctului al patrulea care pare a nega </w:t>
      </w:r>
      <w:r w:rsidRPr="00D25ACA">
        <w:rPr>
          <w:i/>
          <w:sz w:val="24"/>
          <w:szCs w:val="24"/>
        </w:rPr>
        <w:t>Providența divină</w:t>
      </w:r>
      <w:r w:rsidRPr="00D25ACA">
        <w:rPr>
          <w:sz w:val="24"/>
          <w:szCs w:val="24"/>
        </w:rPr>
        <w:t>, F.Ayala consideră că, dimpotrivă, teoria evoluției oferă soluția la problema răului care este de trei tipuri: 1. Răul moral sau păcatul; 2) durerea și suferința; 3) răul fizic, cum ar fi inundațiile, tornadele, cutremurele și imperfecțiunile tuturor ființelor. Mai mult savantul crede că „teoria evoluției conține credința în Dumnezeu, pe când Creaționismul și Proiectul Inteligent, nu,  (...) deoarece lumea abundă în catastrofe, dezastre, imperfecțiuni, disfuncționalități, suferință și cruzime. Tsunami provoacă distrugere și moarte; erupțiile vulcanice au șters de pe fața pământului orașele Pompei și Herculanum, ucigându-le toți locuitorii ; inundațiile și secetele ruinează fermierii. Maxilarul uman este rău proiectat, leii își devorează prada, paraziții care provoacă malaria ucid anual milioane de oameni și îmbolnăvesc alte 500 de milioane. Aproape 20 de procente din sarcinile umane sfârșesc prin avort spontan în primele două luni. Aceasta înseamnă 20 de milioane de avorturi spontane anual. Mă cutremur la gândul că unii credincioși ar putea atribui calamitatea, în mod implicit, proiectului defectuos al lui Dumnezeu. Mai degrabă, îl consider o consecință a imperfecțiunilor procesului de evoluție”</w:t>
      </w:r>
      <w:r w:rsidRPr="00D25ACA">
        <w:rPr>
          <w:rStyle w:val="FootnoteReference"/>
          <w:sz w:val="24"/>
          <w:szCs w:val="24"/>
        </w:rPr>
        <w:footnoteReference w:id="104"/>
      </w:r>
      <w:r w:rsidRPr="00D25ACA">
        <w:rPr>
          <w:sz w:val="24"/>
          <w:szCs w:val="24"/>
        </w:rPr>
        <w:t>. La acestea se adaugă recentele mascare din biserici în timpul slujbelor de Duminică</w:t>
      </w:r>
      <w:r w:rsidRPr="00D25ACA">
        <w:rPr>
          <w:rStyle w:val="FootnoteReference"/>
          <w:sz w:val="24"/>
          <w:szCs w:val="24"/>
        </w:rPr>
        <w:footnoteReference w:id="105"/>
      </w:r>
      <w:r w:rsidRPr="00D25ACA">
        <w:rPr>
          <w:sz w:val="24"/>
          <w:szCs w:val="24"/>
        </w:rPr>
        <w:t xml:space="preserve">!  Bineînțeles că este vorba și despre păcate și nelegiuiri, care duc la toate aceste necazuri, suferința rămânând o mare taină, a cărei dezlegare va fi doar în </w:t>
      </w:r>
      <w:r w:rsidRPr="00D25ACA">
        <w:rPr>
          <w:i/>
          <w:sz w:val="24"/>
          <w:szCs w:val="24"/>
        </w:rPr>
        <w:t>eshaton,</w:t>
      </w:r>
      <w:r w:rsidRPr="00D25ACA">
        <w:rPr>
          <w:sz w:val="24"/>
          <w:szCs w:val="24"/>
        </w:rPr>
        <w:t xml:space="preserve"> când Bunul Dumnezeu: „</w:t>
      </w:r>
      <w:r w:rsidRPr="00D25ACA">
        <w:rPr>
          <w:i/>
          <w:sz w:val="24"/>
          <w:szCs w:val="24"/>
        </w:rPr>
        <w:t>va șterge orice lacrimă din ochii lor și moartea nu va mai fi; nici plângere, nici strigăt, nici durere nu vor mai fi, căci cele dintâi au trecut</w:t>
      </w:r>
      <w:r w:rsidRPr="00D25ACA">
        <w:rPr>
          <w:sz w:val="24"/>
          <w:szCs w:val="24"/>
        </w:rPr>
        <w:t>” (Apocalipsa 21,4). Noul Ierusalim este oraşul reconciliat unde Dumnezeu sălăşluieşte împreună cu poporul Său. În acest oraş nu mai există doliu sau plânset sau durere deoarece dreptatea a fost înfăptuită; nici nu mai există întuneric pentru că totul este în lumina slavei lui Dumnezeu. Prin mijlocul oraşului curge râul vieţii pentru tămăduirea naţiunilor (Apocalipsa 21,1-22,5)</w:t>
      </w:r>
      <w:r w:rsidRPr="00D25ACA">
        <w:rPr>
          <w:rStyle w:val="FootnoteReference"/>
          <w:sz w:val="24"/>
          <w:szCs w:val="24"/>
        </w:rPr>
        <w:footnoteReference w:id="106"/>
      </w:r>
      <w:r w:rsidRPr="00D25ACA">
        <w:rPr>
          <w:sz w:val="24"/>
          <w:szCs w:val="24"/>
        </w:rPr>
        <w:t>.</w:t>
      </w:r>
    </w:p>
    <w:p w:rsidR="00887C51" w:rsidRPr="00D25ACA" w:rsidRDefault="00887C51" w:rsidP="00887C51">
      <w:pPr>
        <w:pStyle w:val="BodyText"/>
        <w:tabs>
          <w:tab w:val="left" w:pos="5387"/>
        </w:tabs>
        <w:ind w:left="-180" w:right="-563"/>
        <w:rPr>
          <w:sz w:val="24"/>
          <w:szCs w:val="24"/>
        </w:rPr>
      </w:pPr>
      <w:r w:rsidRPr="00D25ACA">
        <w:rPr>
          <w:sz w:val="24"/>
          <w:szCs w:val="24"/>
        </w:rPr>
        <w:t>Totuși, secvența ADN-ului uman este un prim pas, dar nu mai mult de un pas, către înțelegerea structurii genetice a ființei umane, deoarece, precizează F.Ayala, „cunoaștem acum succesiunea, în ordine, a celor 3 miliarde de litere, dar această succesiune nu ne oferă o înțelegere a ființelor umane mai mult decât am putea înțelege conținutul a 1000 de volume de mărimea Bibliei, scrise într-o limbă extraterestră căreia îi cunoaștem numai alfabetul, doar pentru faptul că am ajuns să le descifrăm succesiunea literelor”</w:t>
      </w:r>
      <w:r w:rsidRPr="00D25ACA">
        <w:rPr>
          <w:rStyle w:val="FootnoteReference"/>
          <w:sz w:val="24"/>
          <w:szCs w:val="24"/>
        </w:rPr>
        <w:footnoteReference w:id="107"/>
      </w:r>
      <w:r w:rsidRPr="00D25ACA">
        <w:rPr>
          <w:sz w:val="24"/>
          <w:szCs w:val="24"/>
        </w:rPr>
        <w:t xml:space="preserve">. Mai mult, Francisco J.Ayala afirmă că „ </w:t>
      </w:r>
      <w:r w:rsidRPr="00D25ACA">
        <w:rPr>
          <w:i/>
          <w:sz w:val="24"/>
          <w:szCs w:val="24"/>
        </w:rPr>
        <w:t>rămân două enigme majore ale evoluției umane</w:t>
      </w:r>
      <w:r w:rsidRPr="00D25ACA">
        <w:rPr>
          <w:sz w:val="24"/>
          <w:szCs w:val="24"/>
        </w:rPr>
        <w:t xml:space="preserve">”: una este </w:t>
      </w:r>
      <w:r w:rsidRPr="00D25ACA">
        <w:rPr>
          <w:i/>
          <w:sz w:val="24"/>
          <w:szCs w:val="24"/>
        </w:rPr>
        <w:t>baza genetică a omului în comparație cu cimpanzeul</w:t>
      </w:r>
      <w:r w:rsidRPr="00D25ACA">
        <w:rPr>
          <w:sz w:val="24"/>
          <w:szCs w:val="24"/>
        </w:rPr>
        <w:t xml:space="preserve">, și cealaltă,  </w:t>
      </w:r>
      <w:r w:rsidRPr="00D25ACA">
        <w:rPr>
          <w:i/>
          <w:sz w:val="24"/>
          <w:szCs w:val="24"/>
        </w:rPr>
        <w:t>modalitatea în care ajunge creierul la gândire</w:t>
      </w:r>
      <w:r w:rsidRPr="00D25ACA">
        <w:rPr>
          <w:rStyle w:val="FootnoteReference"/>
          <w:sz w:val="24"/>
          <w:szCs w:val="24"/>
        </w:rPr>
        <w:footnoteReference w:id="108"/>
      </w:r>
      <w:r w:rsidRPr="00D25ACA">
        <w:rPr>
          <w:sz w:val="24"/>
          <w:szCs w:val="24"/>
        </w:rPr>
        <w:t>.</w:t>
      </w:r>
    </w:p>
    <w:p w:rsidR="00887C51" w:rsidRPr="00D25ACA" w:rsidRDefault="00887C51" w:rsidP="00887C51">
      <w:pPr>
        <w:pStyle w:val="BodyText"/>
        <w:tabs>
          <w:tab w:val="left" w:pos="5387"/>
        </w:tabs>
        <w:ind w:left="-180" w:right="-563"/>
        <w:rPr>
          <w:sz w:val="24"/>
          <w:szCs w:val="24"/>
        </w:rPr>
      </w:pPr>
      <w:r w:rsidRPr="00D25ACA">
        <w:rPr>
          <w:sz w:val="24"/>
          <w:szCs w:val="24"/>
        </w:rPr>
        <w:t>În secvențele de ADN comune oamenilor și cimpanzeilor, asemănarea este în proporție de 99%</w:t>
      </w:r>
      <w:r w:rsidRPr="00D25ACA">
        <w:rPr>
          <w:rStyle w:val="FootnoteReference"/>
          <w:sz w:val="24"/>
          <w:szCs w:val="24"/>
        </w:rPr>
        <w:footnoteReference w:id="109"/>
      </w:r>
      <w:r w:rsidRPr="00D25ACA">
        <w:rPr>
          <w:sz w:val="24"/>
          <w:szCs w:val="24"/>
        </w:rPr>
        <w:t xml:space="preserve">. Diferențele sunt nesemnificativă sau foarte mari, în funcție de modul în care se alege să fie considerate. Un procent din totalul de 3 miliarde ale fiecărui genom,  înseamnă totuși 30 de milioane de litere ADN. Douăzeci și nouă de procente din enzime și alte proteine codificate de către gene sunt identice la ambele </w:t>
      </w:r>
      <w:r w:rsidRPr="00D25ACA">
        <w:rPr>
          <w:sz w:val="24"/>
          <w:szCs w:val="24"/>
        </w:rPr>
        <w:lastRenderedPageBreak/>
        <w:t>specii, iar cele 71 de procente de proteine neidentice diferă de la oameni la cimpanzei, în medie, prin doar doi aminoacizi. În privința segmentelor de ADN care nu sunt comune, cele două genomuri sunt asemănătoare în proporție de 96%</w:t>
      </w:r>
      <w:r w:rsidRPr="00D25ACA">
        <w:rPr>
          <w:rStyle w:val="FootnoteReference"/>
          <w:sz w:val="24"/>
          <w:szCs w:val="24"/>
        </w:rPr>
        <w:footnoteReference w:id="110"/>
      </w:r>
      <w:r w:rsidRPr="00D25ACA">
        <w:rPr>
          <w:sz w:val="24"/>
          <w:szCs w:val="24"/>
        </w:rPr>
        <w:t>.</w:t>
      </w:r>
    </w:p>
    <w:p w:rsidR="00887C51" w:rsidRPr="00D25ACA" w:rsidRDefault="00887C51" w:rsidP="00887C51">
      <w:pPr>
        <w:pStyle w:val="BodyText"/>
        <w:tabs>
          <w:tab w:val="left" w:pos="5387"/>
        </w:tabs>
        <w:ind w:left="-180" w:right="-563"/>
        <w:rPr>
          <w:sz w:val="24"/>
          <w:szCs w:val="24"/>
        </w:rPr>
      </w:pPr>
      <w:r w:rsidRPr="00D25ACA">
        <w:rPr>
          <w:sz w:val="24"/>
          <w:szCs w:val="24"/>
        </w:rPr>
        <w:t xml:space="preserve">Cu privire la cea de  a doua enigmă, trebuie spus mai înâi că sunt două trăsături remarcabile ale anatomiei umane: poziția verticală și mărimea și complexitatea creierului. Creierul cimpanzeului cântărește mai puțin de 450g, pe când cel al lui </w:t>
      </w:r>
      <w:r w:rsidRPr="00D25ACA">
        <w:rPr>
          <w:i/>
          <w:sz w:val="24"/>
          <w:szCs w:val="24"/>
        </w:rPr>
        <w:t xml:space="preserve">homo sapiens </w:t>
      </w:r>
      <w:r w:rsidRPr="00D25ACA">
        <w:rPr>
          <w:sz w:val="24"/>
          <w:szCs w:val="24"/>
        </w:rPr>
        <w:t>1350 g. La om creierul are cam 2% din masa corpului, dar la șoarece 3% ( ceea ce nu îl face prea inteligent!). Cortexul nostru cerebral, unde sunt procesate funcțiile cognitive superioare, ocupă disproporțional o parte a creierului cu mult mai mare decât la maimuțe</w:t>
      </w:r>
      <w:r w:rsidRPr="00D25ACA">
        <w:rPr>
          <w:rStyle w:val="FootnoteReference"/>
          <w:sz w:val="24"/>
          <w:szCs w:val="24"/>
        </w:rPr>
        <w:footnoteReference w:id="111"/>
      </w:r>
      <w:r w:rsidRPr="00D25ACA">
        <w:rPr>
          <w:sz w:val="24"/>
          <w:szCs w:val="24"/>
        </w:rPr>
        <w:t xml:space="preserve">. Cele 30 de miliarde de neuroni ( între care există trilioane de conexiuni: un trilion = o mie de miliarde,  adică </w:t>
      </w:r>
      <w:r w:rsidRPr="00D25ACA">
        <w:rPr>
          <w:color w:val="000000"/>
          <w:sz w:val="24"/>
          <w:szCs w:val="24"/>
          <w:shd w:val="clear" w:color="auto" w:fill="FFFFFF"/>
        </w:rPr>
        <w:t>10</w:t>
      </w:r>
      <w:r w:rsidRPr="00D25ACA">
        <w:rPr>
          <w:color w:val="000000"/>
          <w:sz w:val="24"/>
          <w:szCs w:val="24"/>
          <w:shd w:val="clear" w:color="auto" w:fill="FFFFFF"/>
          <w:vertAlign w:val="superscript"/>
        </w:rPr>
        <w:t>12</w:t>
      </w:r>
      <w:r w:rsidRPr="00D25ACA">
        <w:rPr>
          <w:sz w:val="24"/>
          <w:szCs w:val="24"/>
        </w:rPr>
        <w:t>)  din creier comunică între ei și cu alte celule nervoase prin semnale chimice și electrice. Dar în ce fel aceste semnale se transformă în percepții, sentimente, idei, argumente critice, emoții estetice și valori etice și religioase?</w:t>
      </w:r>
      <w:r w:rsidRPr="00D25ACA">
        <w:rPr>
          <w:rStyle w:val="FootnoteReference"/>
          <w:sz w:val="24"/>
          <w:szCs w:val="24"/>
        </w:rPr>
        <w:footnoteReference w:id="112"/>
      </w:r>
      <w:r w:rsidRPr="00D25ACA">
        <w:rPr>
          <w:sz w:val="24"/>
          <w:szCs w:val="24"/>
        </w:rPr>
        <w:t>.  De unde conștiința de sine, despre care F.Ayala spune că este specifică omului, deoarece doar  oamenii au un ceremonial funerar</w:t>
      </w:r>
      <w:r w:rsidRPr="00D25ACA">
        <w:rPr>
          <w:rStyle w:val="FootnoteReference"/>
          <w:sz w:val="24"/>
          <w:szCs w:val="24"/>
        </w:rPr>
        <w:footnoteReference w:id="113"/>
      </w:r>
      <w:r w:rsidRPr="00D25ACA">
        <w:rPr>
          <w:sz w:val="24"/>
          <w:szCs w:val="24"/>
        </w:rPr>
        <w:t xml:space="preserve">. </w:t>
      </w:r>
    </w:p>
    <w:p w:rsidR="00887C51" w:rsidRPr="00D25ACA" w:rsidRDefault="00887C51" w:rsidP="00887C51">
      <w:pPr>
        <w:pStyle w:val="BodyText"/>
        <w:tabs>
          <w:tab w:val="left" w:pos="5387"/>
        </w:tabs>
        <w:ind w:left="-180" w:right="-563"/>
        <w:rPr>
          <w:i/>
          <w:sz w:val="24"/>
          <w:szCs w:val="24"/>
        </w:rPr>
      </w:pPr>
      <w:r w:rsidRPr="00D25ACA">
        <w:rPr>
          <w:i/>
          <w:sz w:val="24"/>
          <w:szCs w:val="24"/>
        </w:rPr>
        <w:t xml:space="preserve"> Prin urmare nu atât mărimea, cât mai ales complexitatea creierului trebuie avută în vedere, și oricum nu se cunoaște, la nivelul științelor, de unde vine de fapt inteligența omului</w:t>
      </w:r>
      <w:r w:rsidRPr="00D25ACA">
        <w:rPr>
          <w:rStyle w:val="FootnoteReference"/>
          <w:i/>
          <w:sz w:val="24"/>
          <w:szCs w:val="24"/>
        </w:rPr>
        <w:footnoteReference w:id="114"/>
      </w:r>
      <w:r w:rsidRPr="00D25ACA">
        <w:rPr>
          <w:i/>
          <w:sz w:val="24"/>
          <w:szCs w:val="24"/>
        </w:rPr>
        <w:t>, de unde varietatea de preocupări și talente ale omului, de la muncitor care pune în operă ce gândește inginerul sau arhitectul, până la pianist, compozitor, astronom și câte altele; de unde vocea umană? De unde, apoi compatibilitatea dintre rațiunea omului și raționalitatea universului? Cum poate omul descoperi și formula legi care sunt valabile peste tot în univers, dacă nu ar fi după chipul Celui care a sădit logoi  în creația Sa, dacă nu ar fi după chipul Logos-lui?</w:t>
      </w:r>
    </w:p>
    <w:p w:rsidR="00887C51" w:rsidRPr="00D25ACA" w:rsidRDefault="00887C51" w:rsidP="00887C51">
      <w:pPr>
        <w:pStyle w:val="BodyText"/>
        <w:tabs>
          <w:tab w:val="left" w:pos="5387"/>
        </w:tabs>
        <w:ind w:left="-180" w:right="-563"/>
        <w:rPr>
          <w:sz w:val="24"/>
          <w:szCs w:val="24"/>
        </w:rPr>
      </w:pPr>
      <w:r w:rsidRPr="00D25ACA">
        <w:rPr>
          <w:sz w:val="24"/>
          <w:szCs w:val="24"/>
        </w:rPr>
        <w:t>Posibilitatea și necesitatea dialogului dintre Teologie și știință sunt argumentate foarte bine de F.Ayala în ultimele două capitole ale remarcabilei sale lucrări, intitulate: „Dincolo de biologie” și „Post-sciptum pentru cunoscători”. Știința este un mod de cunoaștere, dar nu singurul. Prin Revelație Dumnezeu vorbește omului, prin știință omul vorbește omului. Știința a avut și are un succes remarcabil în înțelegerea universului material, în timp ce religia oferă mai ales posibilitatea cunoașterii „universului mental sau spiritual care transcende universul material”</w:t>
      </w:r>
      <w:r w:rsidRPr="00D25ACA">
        <w:rPr>
          <w:rStyle w:val="FootnoteReference"/>
          <w:sz w:val="24"/>
          <w:szCs w:val="24"/>
        </w:rPr>
        <w:footnoteReference w:id="115"/>
      </w:r>
      <w:r w:rsidRPr="00D25ACA">
        <w:rPr>
          <w:sz w:val="24"/>
          <w:szCs w:val="24"/>
        </w:rPr>
        <w:t>.</w:t>
      </w:r>
    </w:p>
    <w:p w:rsidR="00887C51" w:rsidRPr="00D25ACA" w:rsidRDefault="00887C51" w:rsidP="00887C51">
      <w:pPr>
        <w:pStyle w:val="FootnoteText"/>
        <w:ind w:left="-142" w:right="-563" w:firstLine="529"/>
        <w:rPr>
          <w:sz w:val="24"/>
          <w:szCs w:val="24"/>
        </w:rPr>
      </w:pPr>
      <w:r w:rsidRPr="00D25ACA">
        <w:rPr>
          <w:sz w:val="24"/>
          <w:szCs w:val="24"/>
        </w:rPr>
        <w:t xml:space="preserve">Aceeași pledoarie pentru dialog o găsim și în cartea lui Denis Alexander, </w:t>
      </w:r>
      <w:r w:rsidRPr="00D25ACA">
        <w:rPr>
          <w:i/>
          <w:sz w:val="24"/>
          <w:szCs w:val="24"/>
        </w:rPr>
        <w:t>Creație sau evoluție.Trebuie să alegem?</w:t>
      </w:r>
      <w:r w:rsidRPr="00D25ACA">
        <w:rPr>
          <w:rStyle w:val="FootnoteReference"/>
          <w:sz w:val="24"/>
          <w:szCs w:val="24"/>
        </w:rPr>
        <w:footnoteReference w:id="116"/>
      </w:r>
      <w:r w:rsidRPr="00D25ACA">
        <w:rPr>
          <w:sz w:val="24"/>
          <w:szCs w:val="24"/>
        </w:rPr>
        <w:t xml:space="preserve"> După cum aflăm din prima pagină, autorul este director al Faraday Institute for Science and Religion, membru al St.Edmund College la Universitatea Cambridge, doctor în biologie moleculară, conducător al Programului de Imunologie Moleculară și directorul Laboratorului pentru semnalizarea și dezvoltarea limfocitelor la Babraham Institute, Cambridge; redactor șef al revistei </w:t>
      </w:r>
      <w:r w:rsidRPr="00D25ACA">
        <w:rPr>
          <w:i/>
          <w:sz w:val="24"/>
          <w:szCs w:val="24"/>
        </w:rPr>
        <w:t xml:space="preserve">Science &amp;Christian Belief , </w:t>
      </w:r>
      <w:r w:rsidRPr="00D25ACA">
        <w:rPr>
          <w:sz w:val="24"/>
          <w:szCs w:val="24"/>
        </w:rPr>
        <w:t xml:space="preserve">membru al Comitetului </w:t>
      </w:r>
      <w:r w:rsidRPr="00D25ACA">
        <w:rPr>
          <w:i/>
          <w:sz w:val="24"/>
          <w:szCs w:val="24"/>
        </w:rPr>
        <w:t xml:space="preserve"> Christians in Science</w:t>
      </w:r>
      <w:r w:rsidRPr="00D25ACA">
        <w:rPr>
          <w:sz w:val="24"/>
          <w:szCs w:val="24"/>
        </w:rPr>
        <w:t xml:space="preserve"> . După multe cercetări, autorul afirmă că „nu există  nici o dovadă temeinică pentru a presupune că o maimuță sau niște hominizi diferiți de </w:t>
      </w:r>
      <w:r w:rsidRPr="00D25ACA">
        <w:rPr>
          <w:i/>
          <w:sz w:val="24"/>
          <w:szCs w:val="24"/>
        </w:rPr>
        <w:t xml:space="preserve">Homo sapiens </w:t>
      </w:r>
      <w:r w:rsidRPr="00D25ACA">
        <w:rPr>
          <w:sz w:val="24"/>
          <w:szCs w:val="24"/>
        </w:rPr>
        <w:t>au avut vreodată credințe religioase”</w:t>
      </w:r>
      <w:r w:rsidRPr="00D25ACA">
        <w:rPr>
          <w:rStyle w:val="FootnoteReference"/>
          <w:sz w:val="24"/>
          <w:szCs w:val="24"/>
        </w:rPr>
        <w:footnoteReference w:id="117"/>
      </w:r>
      <w:r w:rsidRPr="00D25ACA">
        <w:rPr>
          <w:sz w:val="24"/>
          <w:szCs w:val="24"/>
        </w:rPr>
        <w:t>.</w:t>
      </w:r>
    </w:p>
    <w:p w:rsidR="00887C51" w:rsidRPr="00D25ACA" w:rsidRDefault="00887C51" w:rsidP="00887C51">
      <w:pPr>
        <w:pStyle w:val="FootnoteText"/>
        <w:ind w:left="-142" w:right="-563" w:firstLine="529"/>
        <w:rPr>
          <w:sz w:val="24"/>
          <w:szCs w:val="24"/>
        </w:rPr>
      </w:pPr>
      <w:r w:rsidRPr="00D25ACA">
        <w:rPr>
          <w:sz w:val="24"/>
          <w:szCs w:val="24"/>
        </w:rPr>
        <w:t>Autorul dă dovadă că are și solide cunoștințe de exegeză biblică, și reținem mai ales faptul că menționează cinci modele în legătură cu apariția primilor oameni, pe care le redăm sintetic:</w:t>
      </w:r>
    </w:p>
    <w:p w:rsidR="00887C51" w:rsidRPr="00D25ACA" w:rsidRDefault="00887C51" w:rsidP="00887C51">
      <w:pPr>
        <w:pStyle w:val="FootnoteText"/>
        <w:ind w:left="-142" w:right="-563" w:firstLine="529"/>
        <w:rPr>
          <w:sz w:val="24"/>
          <w:szCs w:val="24"/>
        </w:rPr>
      </w:pPr>
    </w:p>
    <w:p w:rsidR="00887C51" w:rsidRPr="00D25ACA" w:rsidRDefault="00887C51" w:rsidP="00887C51">
      <w:pPr>
        <w:pStyle w:val="FootnoteText"/>
        <w:ind w:left="-142" w:right="-563" w:firstLine="529"/>
        <w:rPr>
          <w:i/>
          <w:sz w:val="24"/>
          <w:szCs w:val="24"/>
        </w:rPr>
      </w:pPr>
      <w:r w:rsidRPr="00D25ACA">
        <w:rPr>
          <w:i/>
          <w:sz w:val="24"/>
          <w:szCs w:val="24"/>
        </w:rPr>
        <w:lastRenderedPageBreak/>
        <w:t>Modelul A este o viziune anistorică prin care întreaga problemă este anulată, deoarece sugerează că nu există nicio conexiune între expunerea teologică și cea biologică</w:t>
      </w:r>
    </w:p>
    <w:p w:rsidR="00887C51" w:rsidRPr="00D25ACA" w:rsidRDefault="00887C51" w:rsidP="00887C51">
      <w:pPr>
        <w:pStyle w:val="FootnoteText"/>
        <w:ind w:left="-142" w:right="-563" w:firstLine="529"/>
        <w:rPr>
          <w:i/>
          <w:sz w:val="24"/>
          <w:szCs w:val="24"/>
        </w:rPr>
      </w:pPr>
      <w:r w:rsidRPr="00D25ACA">
        <w:rPr>
          <w:i/>
          <w:sz w:val="24"/>
          <w:szCs w:val="24"/>
        </w:rPr>
        <w:t>Modelul B este o viziune protoistorică  graduală, ceea ce înseamnă că nu este istorică în sensul propriu al termenului, dar se referă totuși la întâmplări care s-au petrecut în anumite locuri și momente</w:t>
      </w:r>
    </w:p>
    <w:p w:rsidR="00887C51" w:rsidRPr="00D25ACA" w:rsidRDefault="00887C51" w:rsidP="00887C51">
      <w:pPr>
        <w:pStyle w:val="FootnoteText"/>
        <w:ind w:left="-142" w:right="-563" w:firstLine="529"/>
        <w:rPr>
          <w:i/>
          <w:sz w:val="24"/>
          <w:szCs w:val="24"/>
        </w:rPr>
      </w:pPr>
      <w:r w:rsidRPr="00D25ACA">
        <w:rPr>
          <w:i/>
          <w:sz w:val="24"/>
          <w:szCs w:val="24"/>
        </w:rPr>
        <w:t>Modelul C este tot o viziune protoistorică, dar este orientat spre niște evenimente localizate în istorie care ar putea corespunde expunerii teologice furnizate de cartea Geneza.  Dumnezeu ar fi ales un cuplu de agricultori din Neolitic, din Orientul Apropiat, cărora a dorit să Se reveleze în mod special. Așa se explică și existența altor oameni.</w:t>
      </w:r>
    </w:p>
    <w:p w:rsidR="00887C51" w:rsidRPr="00D25ACA" w:rsidRDefault="00887C51" w:rsidP="00887C51">
      <w:pPr>
        <w:pStyle w:val="FootnoteText"/>
        <w:ind w:left="-142" w:right="-563" w:firstLine="529"/>
        <w:rPr>
          <w:i/>
          <w:sz w:val="24"/>
          <w:szCs w:val="24"/>
        </w:rPr>
      </w:pPr>
      <w:r w:rsidRPr="00D25ACA">
        <w:rPr>
          <w:i/>
          <w:sz w:val="24"/>
          <w:szCs w:val="24"/>
        </w:rPr>
        <w:t>Modelul D reprezintă diferite puncte de vedere grupate sub titlul: „Creașionismul pământului bătrân” sau „creaționismul episodic”, adică Dumnezeu a intervenit punctual în istorie.</w:t>
      </w:r>
    </w:p>
    <w:p w:rsidR="00887C51" w:rsidRPr="00D25ACA" w:rsidRDefault="00887C51" w:rsidP="00887C51">
      <w:pPr>
        <w:pStyle w:val="FootnoteText"/>
        <w:ind w:left="-142" w:right="-563" w:firstLine="529"/>
        <w:rPr>
          <w:sz w:val="24"/>
          <w:szCs w:val="24"/>
        </w:rPr>
      </w:pPr>
      <w:r w:rsidRPr="00D25ACA">
        <w:rPr>
          <w:i/>
          <w:sz w:val="24"/>
          <w:szCs w:val="24"/>
        </w:rPr>
        <w:t>Modelul E e reprezentat de „creaționismul” pământului tânăr”, care susține că palneta noastră a fost creată de Dumnezeu acum aproximativ 10.000 de ani și că toate vietățile au fost create în șase zile a câte 24 de ore, printr-o serie de miracole, iar Adam și Eva au fost creați în mod miraclos din pământ în a șasea zi</w:t>
      </w:r>
      <w:r w:rsidRPr="00D25ACA">
        <w:rPr>
          <w:rStyle w:val="FootnoteReference"/>
          <w:sz w:val="24"/>
          <w:szCs w:val="24"/>
        </w:rPr>
        <w:footnoteReference w:id="118"/>
      </w:r>
      <w:r w:rsidRPr="00D25ACA">
        <w:rPr>
          <w:sz w:val="24"/>
          <w:szCs w:val="24"/>
        </w:rPr>
        <w:t>.</w:t>
      </w:r>
    </w:p>
    <w:p w:rsidR="00887C51" w:rsidRPr="00D25ACA" w:rsidRDefault="00887C51" w:rsidP="00887C51">
      <w:pPr>
        <w:pStyle w:val="FootnoteText"/>
        <w:ind w:left="-142" w:right="-563" w:firstLine="529"/>
        <w:rPr>
          <w:sz w:val="24"/>
          <w:szCs w:val="24"/>
        </w:rPr>
      </w:pPr>
      <w:r w:rsidRPr="00D25ACA">
        <w:rPr>
          <w:sz w:val="24"/>
          <w:szCs w:val="24"/>
        </w:rPr>
        <w:t xml:space="preserve">Denis Alexander încearcă să susțină </w:t>
      </w:r>
      <w:r w:rsidRPr="00D25ACA">
        <w:rPr>
          <w:i/>
          <w:sz w:val="24"/>
          <w:szCs w:val="24"/>
        </w:rPr>
        <w:t xml:space="preserve">modelul C, </w:t>
      </w:r>
      <w:r w:rsidRPr="00D25ACA">
        <w:rPr>
          <w:sz w:val="24"/>
          <w:szCs w:val="24"/>
        </w:rPr>
        <w:t xml:space="preserve"> deoarece în această viziune Adam și Eva ar fi  fost oameni reali, care au trăit într-o epocă istorică și într-o zonă geografică anume, aleși de Dumnezeu să reprezinte noua lui omenire pe pământ. Când Adam a recunoscut-o pe Eva, nu ar fi  recunoscut doar un seamăn </w:t>
      </w:r>
      <w:r w:rsidRPr="00D25ACA">
        <w:rPr>
          <w:i/>
          <w:sz w:val="24"/>
          <w:szCs w:val="24"/>
        </w:rPr>
        <w:t>Homo sapiens</w:t>
      </w:r>
      <w:r w:rsidRPr="00D25ACA">
        <w:rPr>
          <w:sz w:val="24"/>
          <w:szCs w:val="24"/>
        </w:rPr>
        <w:t xml:space="preserve"> – erau o mulțime în jur - , ci un seamăn credincios, unul asemenea lui, chemat la comunine cu Dumnezeu. Populația lumii în epoca neolitică  este estimată undeva între unu și zece milioane, indivizi asemănători din punct de vedere genetic cu Adam și Eva, dar </w:t>
      </w:r>
      <w:r>
        <w:rPr>
          <w:sz w:val="24"/>
          <w:szCs w:val="24"/>
        </w:rPr>
        <w:t>Dumnezeu S</w:t>
      </w:r>
      <w:r w:rsidRPr="00D25ACA">
        <w:rPr>
          <w:sz w:val="24"/>
          <w:szCs w:val="24"/>
        </w:rPr>
        <w:t>-a revelat doar celor doi agricultori. Așa cum, ieșind pe stradă nu poți identifica pe cei vii din punct de vedere spiritual, tot așa nu exista nici o modalitate fi</w:t>
      </w:r>
      <w:r>
        <w:rPr>
          <w:sz w:val="24"/>
          <w:szCs w:val="24"/>
        </w:rPr>
        <w:t>z</w:t>
      </w:r>
      <w:r w:rsidRPr="00D25ACA">
        <w:rPr>
          <w:sz w:val="24"/>
          <w:szCs w:val="24"/>
        </w:rPr>
        <w:t>ică de a-i deosebi pe Adam și Eva de contemporanii lor. Vorbim despre un model de viață spirituală, despre porunci și responsabilități revelate, nu despre genetică</w:t>
      </w:r>
      <w:r w:rsidRPr="00D25ACA">
        <w:rPr>
          <w:rStyle w:val="FootnoteReference"/>
          <w:sz w:val="24"/>
          <w:szCs w:val="24"/>
        </w:rPr>
        <w:footnoteReference w:id="119"/>
      </w:r>
      <w:r w:rsidRPr="00D25ACA">
        <w:rPr>
          <w:sz w:val="24"/>
          <w:szCs w:val="24"/>
        </w:rPr>
        <w:t xml:space="preserve">. </w:t>
      </w:r>
    </w:p>
    <w:p w:rsidR="00887C51" w:rsidRPr="00D25ACA" w:rsidRDefault="00887C51" w:rsidP="00887C51">
      <w:pPr>
        <w:pStyle w:val="FootnoteText"/>
        <w:ind w:left="-142" w:right="-563" w:firstLine="529"/>
        <w:rPr>
          <w:sz w:val="24"/>
          <w:szCs w:val="24"/>
        </w:rPr>
      </w:pPr>
      <w:r w:rsidRPr="00D25ACA">
        <w:rPr>
          <w:sz w:val="24"/>
          <w:szCs w:val="24"/>
        </w:rPr>
        <w:t xml:space="preserve">Părintele ieromonah Serafim Rose consideră că este </w:t>
      </w:r>
      <w:r w:rsidRPr="00D25ACA">
        <w:rPr>
          <w:i/>
          <w:sz w:val="24"/>
          <w:szCs w:val="24"/>
        </w:rPr>
        <w:t>inacceptabil</w:t>
      </w:r>
      <w:r w:rsidRPr="00D25ACA">
        <w:rPr>
          <w:sz w:val="24"/>
          <w:szCs w:val="24"/>
        </w:rPr>
        <w:t xml:space="preserve"> să credem ca omul „</w:t>
      </w:r>
      <w:r w:rsidRPr="00D25ACA">
        <w:rPr>
          <w:i/>
          <w:sz w:val="24"/>
          <w:szCs w:val="24"/>
        </w:rPr>
        <w:t>să se fi ridicat din sălbăticie</w:t>
      </w:r>
      <w:r w:rsidRPr="00D25ACA">
        <w:rPr>
          <w:sz w:val="24"/>
          <w:szCs w:val="24"/>
        </w:rPr>
        <w:t>”</w:t>
      </w:r>
      <w:r w:rsidRPr="00D25ACA">
        <w:rPr>
          <w:rStyle w:val="FootnoteReference"/>
          <w:sz w:val="24"/>
          <w:szCs w:val="24"/>
        </w:rPr>
        <w:footnoteReference w:id="120"/>
      </w:r>
      <w:r w:rsidRPr="00D25ACA">
        <w:rPr>
          <w:sz w:val="24"/>
          <w:szCs w:val="24"/>
        </w:rPr>
        <w:t xml:space="preserve">. Cunoscutul om duhovnicesc ne mai spune: </w:t>
      </w:r>
    </w:p>
    <w:p w:rsidR="00887C51" w:rsidRPr="00D25ACA" w:rsidRDefault="00887C51" w:rsidP="00887C51">
      <w:pPr>
        <w:pStyle w:val="FootnoteText"/>
        <w:ind w:left="-142" w:right="-563" w:firstLine="529"/>
        <w:rPr>
          <w:sz w:val="24"/>
          <w:szCs w:val="24"/>
        </w:rPr>
      </w:pPr>
    </w:p>
    <w:p w:rsidR="00887C51" w:rsidRPr="00D25ACA" w:rsidRDefault="00887C51" w:rsidP="00887C51">
      <w:pPr>
        <w:pStyle w:val="FootnoteText"/>
        <w:ind w:left="-142" w:right="-563" w:firstLine="529"/>
        <w:rPr>
          <w:i/>
          <w:sz w:val="24"/>
          <w:szCs w:val="24"/>
        </w:rPr>
      </w:pPr>
      <w:r w:rsidRPr="00D25ACA">
        <w:rPr>
          <w:i/>
          <w:sz w:val="24"/>
          <w:szCs w:val="24"/>
        </w:rPr>
        <w:t>Cărțile îl arată pe omul de Cro-Magnon sau pe omul de Neanderthal foarte sălbatici la înfățișare, gata să-i dea cuiva în cap și să-i ia carnea. Evident, e doar ceva imaginat, nu un fapt întemeiat pe forma fosilelor sau pe altceva de felul acesta. Dacă crezi că omul provine din sălbăticie, vei interpreta întreaga istorie trecută în acești termeni. Dar Ortodoxia susține că omul a căzut din Rai. În filosofia evoluționistă nu e loc pentru o stare suprafirească a lui Adam. De aceea cei ce vor să păstreze și creștinismul și evoluționismul sunt siliți să alipească un rai artificial unei creaturi de tip maimuță. E vădit că avem de -a face cu două sisteme diferite care nu pot fi amestecate</w:t>
      </w:r>
      <w:r w:rsidRPr="00D25ACA">
        <w:rPr>
          <w:rStyle w:val="FootnoteReference"/>
          <w:i/>
          <w:sz w:val="24"/>
          <w:szCs w:val="24"/>
        </w:rPr>
        <w:footnoteReference w:id="121"/>
      </w:r>
      <w:r w:rsidRPr="00D25ACA">
        <w:rPr>
          <w:i/>
          <w:sz w:val="24"/>
          <w:szCs w:val="24"/>
        </w:rPr>
        <w:t xml:space="preserve">. </w:t>
      </w:r>
    </w:p>
    <w:p w:rsidR="00887C51" w:rsidRPr="00D25ACA" w:rsidRDefault="00887C51" w:rsidP="00887C51">
      <w:pPr>
        <w:pStyle w:val="FootnoteText"/>
        <w:ind w:left="-142" w:right="-563" w:firstLine="529"/>
        <w:rPr>
          <w:sz w:val="24"/>
          <w:szCs w:val="24"/>
        </w:rPr>
      </w:pPr>
    </w:p>
    <w:p w:rsidR="00887C51" w:rsidRPr="00D25ACA" w:rsidRDefault="00887C51" w:rsidP="00887C51">
      <w:pPr>
        <w:pStyle w:val="FootnoteText"/>
        <w:ind w:left="-142" w:right="-563" w:firstLine="529"/>
        <w:rPr>
          <w:i/>
          <w:sz w:val="24"/>
          <w:szCs w:val="24"/>
        </w:rPr>
      </w:pPr>
      <w:r w:rsidRPr="00D25ACA">
        <w:rPr>
          <w:sz w:val="24"/>
          <w:szCs w:val="24"/>
        </w:rPr>
        <w:t>Prin urmare, trebuie să afirmăm foarte clar că</w:t>
      </w:r>
      <w:r w:rsidRPr="00D25ACA">
        <w:rPr>
          <w:i/>
          <w:sz w:val="24"/>
          <w:szCs w:val="24"/>
        </w:rPr>
        <w:t xml:space="preserve"> Dogmatica Ortodoxă nu adoptă nici o explicație și nici o teorie științifică drept ultima posibilă</w:t>
      </w:r>
      <w:r w:rsidRPr="00D25ACA">
        <w:rPr>
          <w:sz w:val="24"/>
          <w:szCs w:val="24"/>
        </w:rPr>
        <w:t xml:space="preserve">, dar este important ca să știm și să predăm studenților cam ce se știe astăzi despre lume și om. Cert este că omul a fost creat în mod special de Dumnezeu, că are în sine chemarea veșniciei, că poartă, asemenea Creatorului, o pecete apofatică. </w:t>
      </w:r>
      <w:r w:rsidRPr="00D25ACA">
        <w:rPr>
          <w:i/>
          <w:sz w:val="24"/>
          <w:szCs w:val="24"/>
        </w:rPr>
        <w:t xml:space="preserve">Omul rămâne un mister, dar un mister din care transpare sens și semnificație. </w:t>
      </w:r>
    </w:p>
    <w:p w:rsidR="00887C51" w:rsidRPr="00D25ACA" w:rsidRDefault="00887C51" w:rsidP="00887C51">
      <w:pPr>
        <w:pStyle w:val="FootnoteText"/>
        <w:ind w:left="-142" w:right="-563" w:firstLine="529"/>
        <w:rPr>
          <w:sz w:val="24"/>
          <w:szCs w:val="24"/>
        </w:rPr>
      </w:pPr>
      <w:r w:rsidRPr="00D25ACA">
        <w:rPr>
          <w:sz w:val="24"/>
          <w:szCs w:val="24"/>
        </w:rPr>
        <w:lastRenderedPageBreak/>
        <w:t xml:space="preserve">Mircea Eliade percepea foarte bine misterul ființei umane și spunea că nu se ocupă de problema foarte dificilă a </w:t>
      </w:r>
      <w:r>
        <w:rPr>
          <w:sz w:val="24"/>
          <w:szCs w:val="24"/>
        </w:rPr>
        <w:t xml:space="preserve">așa numitei </w:t>
      </w:r>
      <w:r w:rsidRPr="00D25ACA">
        <w:rPr>
          <w:i/>
          <w:sz w:val="24"/>
          <w:szCs w:val="24"/>
        </w:rPr>
        <w:t>hominizări</w:t>
      </w:r>
      <w:r w:rsidRPr="00D25ACA">
        <w:rPr>
          <w:sz w:val="24"/>
          <w:szCs w:val="24"/>
        </w:rPr>
        <w:t xml:space="preserve">, dar poate afirma peremptoriu că:  </w:t>
      </w:r>
    </w:p>
    <w:p w:rsidR="00887C51" w:rsidRPr="00D25ACA" w:rsidRDefault="00887C51" w:rsidP="00887C51">
      <w:pPr>
        <w:pStyle w:val="FootnoteText"/>
        <w:ind w:left="-142" w:right="-563" w:firstLine="529"/>
        <w:rPr>
          <w:sz w:val="24"/>
          <w:szCs w:val="24"/>
        </w:rPr>
      </w:pPr>
      <w:r w:rsidRPr="00D25ACA">
        <w:rPr>
          <w:i/>
          <w:sz w:val="24"/>
          <w:szCs w:val="24"/>
        </w:rPr>
        <w:t>“sacrul este un element în structura conştiinţei şi nu un stadiu în istoria acestei conştiinţe. La nivelurile cele mai arhaice ale culturii a trăi ca fiinţă umană este în sine un act religios, căci alimentaţia, viaţa sexuală şi munca au o valoare sacramentală</w:t>
      </w:r>
      <w:r w:rsidRPr="00D25ACA">
        <w:rPr>
          <w:sz w:val="24"/>
          <w:szCs w:val="24"/>
        </w:rPr>
        <w:t>”</w:t>
      </w:r>
      <w:r w:rsidRPr="00D25ACA">
        <w:rPr>
          <w:rStyle w:val="FootnoteReference"/>
          <w:sz w:val="24"/>
          <w:szCs w:val="24"/>
        </w:rPr>
        <w:footnoteReference w:id="122"/>
      </w:r>
      <w:r w:rsidRPr="00D25ACA">
        <w:rPr>
          <w:sz w:val="24"/>
          <w:szCs w:val="24"/>
        </w:rPr>
        <w:t xml:space="preserve">, deci de la început omul este deodată </w:t>
      </w:r>
      <w:r w:rsidRPr="00D25ACA">
        <w:rPr>
          <w:i/>
          <w:sz w:val="24"/>
          <w:szCs w:val="24"/>
        </w:rPr>
        <w:t>sapiens</w:t>
      </w:r>
      <w:r w:rsidRPr="00D25ACA">
        <w:rPr>
          <w:sz w:val="24"/>
          <w:szCs w:val="24"/>
        </w:rPr>
        <w:t xml:space="preserve"> şi </w:t>
      </w:r>
      <w:r w:rsidRPr="00D25ACA">
        <w:rPr>
          <w:i/>
          <w:sz w:val="24"/>
          <w:szCs w:val="24"/>
        </w:rPr>
        <w:t>religiosus</w:t>
      </w:r>
      <w:r w:rsidRPr="00D25ACA">
        <w:rPr>
          <w:sz w:val="24"/>
          <w:szCs w:val="24"/>
        </w:rPr>
        <w:t xml:space="preserve">,  </w:t>
      </w:r>
      <w:r w:rsidRPr="00D25ACA">
        <w:rPr>
          <w:i/>
          <w:sz w:val="24"/>
          <w:szCs w:val="24"/>
        </w:rPr>
        <w:t>faber</w:t>
      </w:r>
      <w:r w:rsidRPr="00D25ACA">
        <w:rPr>
          <w:sz w:val="24"/>
          <w:szCs w:val="24"/>
        </w:rPr>
        <w:t xml:space="preserve"> şi </w:t>
      </w:r>
      <w:r w:rsidRPr="00D25ACA">
        <w:rPr>
          <w:i/>
          <w:sz w:val="24"/>
          <w:szCs w:val="24"/>
        </w:rPr>
        <w:t>adorans.</w:t>
      </w:r>
      <w:r w:rsidRPr="00D25ACA">
        <w:rPr>
          <w:sz w:val="24"/>
          <w:szCs w:val="24"/>
        </w:rPr>
        <w:t xml:space="preserve"> </w:t>
      </w:r>
    </w:p>
    <w:p w:rsidR="00887C51" w:rsidRPr="00D25ACA" w:rsidRDefault="00887C51" w:rsidP="00887C51">
      <w:pPr>
        <w:pStyle w:val="FootnoteText"/>
        <w:ind w:left="-142" w:right="-563" w:firstLine="529"/>
        <w:rPr>
          <w:sz w:val="24"/>
          <w:szCs w:val="24"/>
        </w:rPr>
      </w:pPr>
      <w:r w:rsidRPr="00D25ACA">
        <w:rPr>
          <w:sz w:val="24"/>
          <w:szCs w:val="24"/>
        </w:rPr>
        <w:t>Mai mult, marele savant afirmă că:</w:t>
      </w:r>
    </w:p>
    <w:p w:rsidR="00887C51" w:rsidRPr="00D25ACA" w:rsidRDefault="00887C51" w:rsidP="00887C51">
      <w:pPr>
        <w:pStyle w:val="FootnoteText"/>
        <w:ind w:left="-142" w:right="-563" w:firstLine="529"/>
        <w:rPr>
          <w:sz w:val="24"/>
          <w:szCs w:val="24"/>
        </w:rPr>
      </w:pPr>
      <w:r w:rsidRPr="00D25ACA">
        <w:rPr>
          <w:i/>
          <w:sz w:val="24"/>
          <w:szCs w:val="24"/>
        </w:rPr>
        <w:t xml:space="preserve"> este greu să ne imaginăm cum ar putea funcţiona spiritul uman fără a avea convingerea că ceva ireductibil real  există în lume; şi este cu neputinţă să ne închipuim cum ar putea să apară conştiinţa, fără a conferi o semnificaţie impulsiunilor şi experienţelor omului. Conştiinţa unei lumi reale şi semnificative este strâns legată de descoperirea sacrului. Prin experienţa sacrului, spiritul uman a sesizat diferenţa între ceea ce se revelează ca fiind real, puternic, bogat şi semnificativ, şi ceea ce este lipsit de aceste calităţi, adică curgerea haotică şi periculoasă a lucrurilor, apariţiile şi dispariţiile lor fortuite şi vide de sens</w:t>
      </w:r>
      <w:r w:rsidRPr="00D25ACA">
        <w:rPr>
          <w:rStyle w:val="FootnoteReference"/>
          <w:sz w:val="24"/>
          <w:szCs w:val="24"/>
        </w:rPr>
        <w:footnoteReference w:id="123"/>
      </w:r>
      <w:r w:rsidRPr="00D25ACA">
        <w:rPr>
          <w:sz w:val="24"/>
          <w:szCs w:val="24"/>
        </w:rPr>
        <w:t xml:space="preserve">.  </w:t>
      </w:r>
    </w:p>
    <w:p w:rsidR="00887C51" w:rsidRPr="00D25ACA" w:rsidRDefault="00887C51" w:rsidP="00887C51">
      <w:pPr>
        <w:pStyle w:val="FootnoteText"/>
        <w:ind w:left="-142" w:right="-563" w:firstLine="529"/>
        <w:rPr>
          <w:sz w:val="24"/>
          <w:szCs w:val="24"/>
        </w:rPr>
      </w:pPr>
    </w:p>
    <w:p w:rsidR="00887C51" w:rsidRPr="00D25ACA" w:rsidRDefault="00887C51" w:rsidP="00887C51">
      <w:pPr>
        <w:pStyle w:val="FootnoteText"/>
        <w:ind w:left="-142" w:right="-563" w:firstLine="529"/>
        <w:rPr>
          <w:sz w:val="24"/>
          <w:szCs w:val="24"/>
        </w:rPr>
      </w:pPr>
      <w:r w:rsidRPr="00D25ACA">
        <w:rPr>
          <w:sz w:val="24"/>
          <w:szCs w:val="24"/>
        </w:rPr>
        <w:t xml:space="preserve"> În concluzie, omul creat în mod special după chipul Logos-lui întrupat are o valoare inestimabilă ca trup și suflet. Mai mult, Sfântul Maxim Mărturisitorul </w:t>
      </w:r>
      <w:r>
        <w:rPr>
          <w:sz w:val="24"/>
          <w:szCs w:val="24"/>
        </w:rPr>
        <w:t xml:space="preserve">ne </w:t>
      </w:r>
      <w:r w:rsidRPr="00D25ACA">
        <w:rPr>
          <w:sz w:val="24"/>
          <w:szCs w:val="24"/>
        </w:rPr>
        <w:t>spune:</w:t>
      </w:r>
    </w:p>
    <w:p w:rsidR="00887C51" w:rsidRPr="00D25ACA" w:rsidRDefault="00887C51" w:rsidP="00887C51">
      <w:pPr>
        <w:pStyle w:val="FootnoteText"/>
        <w:ind w:left="-142" w:right="-563" w:firstLine="529"/>
        <w:rPr>
          <w:i/>
          <w:sz w:val="24"/>
          <w:szCs w:val="24"/>
        </w:rPr>
      </w:pPr>
    </w:p>
    <w:p w:rsidR="00887C51" w:rsidRPr="00D25ACA" w:rsidRDefault="00887C51" w:rsidP="00887C51">
      <w:pPr>
        <w:pStyle w:val="FootnoteText"/>
        <w:ind w:left="-142" w:right="-563" w:firstLine="529"/>
        <w:rPr>
          <w:sz w:val="24"/>
          <w:szCs w:val="24"/>
        </w:rPr>
      </w:pPr>
      <w:r w:rsidRPr="00D25ACA">
        <w:rPr>
          <w:i/>
          <w:sz w:val="24"/>
          <w:szCs w:val="24"/>
        </w:rPr>
        <w:t>Dacă înaintăm drept, conform raţiunii şi firii, spre ceea ce reprezentăm prin fiinţă şi raţiune, vom cunoaşte şi noi printr-o simplă atingere (aple prosbole) fără nici o iscodire, care singură prilejuieşte greşeala şi rătăcirea, toate în mod divin (theoeidos), atât cât ne e cu putinţă, nemaipersistând din pricina neştiinţei în mişcarea din jurul lor, ca unii ce ne-am unit mintea şi raţiunea noastră cu Mintea (Nous</w:t>
      </w:r>
      <w:r w:rsidRPr="00D25ACA">
        <w:rPr>
          <w:b/>
          <w:i/>
          <w:sz w:val="24"/>
          <w:szCs w:val="24"/>
        </w:rPr>
        <w:t>)</w:t>
      </w:r>
      <w:r w:rsidRPr="00D25ACA">
        <w:rPr>
          <w:i/>
          <w:sz w:val="24"/>
          <w:szCs w:val="24"/>
        </w:rPr>
        <w:t xml:space="preserve"> cea mare, cu Raţiunea (Logos) şi Duhul (Pneuma), mai bine zis pe noi întregi cu Dumnezeu întreg, ca un chip cu modelul lui</w:t>
      </w:r>
      <w:r w:rsidRPr="00D25ACA">
        <w:rPr>
          <w:rStyle w:val="FootnoteReference"/>
          <w:sz w:val="24"/>
          <w:szCs w:val="24"/>
        </w:rPr>
        <w:footnoteReference w:id="124"/>
      </w:r>
      <w:r w:rsidRPr="00D25ACA">
        <w:rPr>
          <w:sz w:val="24"/>
          <w:szCs w:val="24"/>
        </w:rPr>
        <w:t>.</w:t>
      </w:r>
    </w:p>
    <w:p w:rsidR="00887C51" w:rsidRPr="00D25ACA" w:rsidRDefault="00887C51" w:rsidP="00887C51">
      <w:pPr>
        <w:pStyle w:val="FootnoteText"/>
        <w:ind w:left="-142" w:right="-563" w:firstLine="529"/>
        <w:rPr>
          <w:sz w:val="24"/>
          <w:szCs w:val="24"/>
        </w:rPr>
      </w:pPr>
      <w:r w:rsidRPr="00D25ACA">
        <w:rPr>
          <w:sz w:val="24"/>
          <w:szCs w:val="24"/>
        </w:rPr>
        <w:t xml:space="preserve"> Mintea- </w:t>
      </w:r>
      <w:r w:rsidRPr="00D25ACA">
        <w:rPr>
          <w:i/>
          <w:sz w:val="24"/>
          <w:szCs w:val="24"/>
        </w:rPr>
        <w:t>nous,</w:t>
      </w:r>
      <w:r w:rsidRPr="00D25ACA">
        <w:rPr>
          <w:sz w:val="24"/>
          <w:szCs w:val="24"/>
        </w:rPr>
        <w:t xml:space="preserve"> raţiunea -  </w:t>
      </w:r>
      <w:r w:rsidRPr="00D25ACA">
        <w:rPr>
          <w:i/>
          <w:sz w:val="24"/>
          <w:szCs w:val="24"/>
        </w:rPr>
        <w:t>logos</w:t>
      </w:r>
      <w:r w:rsidRPr="00D25ACA">
        <w:rPr>
          <w:sz w:val="24"/>
          <w:szCs w:val="24"/>
        </w:rPr>
        <w:t xml:space="preserve"> şi duhul - </w:t>
      </w:r>
      <w:r w:rsidRPr="00D25ACA">
        <w:rPr>
          <w:i/>
          <w:sz w:val="24"/>
          <w:szCs w:val="24"/>
        </w:rPr>
        <w:t>pneuma</w:t>
      </w:r>
      <w:r w:rsidRPr="00D25ACA">
        <w:rPr>
          <w:sz w:val="24"/>
          <w:szCs w:val="24"/>
        </w:rPr>
        <w:t xml:space="preserve"> omului trebuie să </w:t>
      </w:r>
      <w:r>
        <w:rPr>
          <w:sz w:val="24"/>
          <w:szCs w:val="24"/>
        </w:rPr>
        <w:t xml:space="preserve">ajungă, și prin întregul efort etic-ascetic, să </w:t>
      </w:r>
      <w:r w:rsidRPr="00D25ACA">
        <w:rPr>
          <w:sz w:val="24"/>
          <w:szCs w:val="24"/>
        </w:rPr>
        <w:t xml:space="preserve">fie în conformitate cu arhetipurile lor: Marea Minte -Tatăl, Logos-ul - Fiul şi Duhul - Duhul Sfânt, această triadă a sufletului omenesc trimițând spre misterul trinitar, </w:t>
      </w:r>
      <w:r>
        <w:rPr>
          <w:sz w:val="24"/>
          <w:szCs w:val="24"/>
        </w:rPr>
        <w:t xml:space="preserve">omul </w:t>
      </w:r>
      <w:r w:rsidRPr="00D25ACA">
        <w:rPr>
          <w:sz w:val="24"/>
          <w:szCs w:val="24"/>
        </w:rPr>
        <w:t>fiind, de fapt, “imago Trinitatis”</w:t>
      </w:r>
      <w:r w:rsidRPr="00D25ACA">
        <w:rPr>
          <w:rStyle w:val="FootnoteReference"/>
          <w:sz w:val="24"/>
          <w:szCs w:val="24"/>
        </w:rPr>
        <w:footnoteReference w:id="125"/>
      </w:r>
      <w:r w:rsidRPr="00D25ACA">
        <w:rPr>
          <w:sz w:val="24"/>
          <w:szCs w:val="24"/>
        </w:rPr>
        <w:t>, întrucât “mâinile” cu care Tatăl l-a creat pe om sunt Fiul şi Duhul  Sfânt. Și de aici marea însemnătate veșnică a omului,</w:t>
      </w:r>
      <w:r w:rsidRPr="00D25ACA">
        <w:rPr>
          <w:i/>
          <w:sz w:val="24"/>
          <w:szCs w:val="24"/>
        </w:rPr>
        <w:t xml:space="preserve"> pe care nu poate, și nu este în intenția sa, </w:t>
      </w:r>
      <w:r w:rsidRPr="00D25ACA">
        <w:rPr>
          <w:sz w:val="24"/>
          <w:szCs w:val="24"/>
        </w:rPr>
        <w:t>să o prezinte vreodată biologia sau știința în general.</w:t>
      </w:r>
    </w:p>
    <w:p w:rsidR="00887C51" w:rsidRPr="00D25ACA" w:rsidRDefault="00887C51" w:rsidP="00887C51">
      <w:pPr>
        <w:pStyle w:val="FootnoteText"/>
        <w:ind w:left="-142" w:right="-563" w:firstLine="529"/>
        <w:rPr>
          <w:sz w:val="24"/>
          <w:szCs w:val="24"/>
        </w:rPr>
      </w:pPr>
    </w:p>
    <w:p w:rsidR="00887C51" w:rsidRPr="00D25ACA" w:rsidRDefault="00887C51" w:rsidP="00887C51">
      <w:pPr>
        <w:pStyle w:val="FootnoteText"/>
        <w:ind w:left="-142" w:right="-563" w:firstLine="529"/>
        <w:rPr>
          <w:sz w:val="24"/>
          <w:szCs w:val="24"/>
        </w:rPr>
      </w:pPr>
    </w:p>
    <w:p w:rsidR="00887C51" w:rsidRPr="00D25ACA" w:rsidRDefault="00887C51" w:rsidP="00887C51">
      <w:pPr>
        <w:pStyle w:val="FootnoteText"/>
        <w:ind w:left="-142" w:right="-563" w:firstLine="529"/>
        <w:rPr>
          <w:sz w:val="24"/>
          <w:szCs w:val="24"/>
        </w:rPr>
      </w:pPr>
      <w:r w:rsidRPr="00D25ACA">
        <w:rPr>
          <w:sz w:val="24"/>
          <w:szCs w:val="24"/>
        </w:rPr>
        <w:t xml:space="preserve">  </w:t>
      </w:r>
    </w:p>
    <w:p w:rsidR="00887C51" w:rsidRPr="00D25ACA" w:rsidRDefault="00887C51" w:rsidP="00887C51">
      <w:pPr>
        <w:pStyle w:val="BodyText"/>
        <w:tabs>
          <w:tab w:val="left" w:pos="5387"/>
        </w:tabs>
        <w:ind w:left="-180" w:right="-563"/>
        <w:rPr>
          <w:sz w:val="24"/>
          <w:szCs w:val="24"/>
        </w:rPr>
      </w:pPr>
      <w:r w:rsidRPr="00D25ACA">
        <w:rPr>
          <w:sz w:val="24"/>
          <w:szCs w:val="24"/>
        </w:rPr>
        <w:t>Pr.conf.Nicolae Moșoiu</w:t>
      </w:r>
    </w:p>
    <w:p w:rsidR="00887C51" w:rsidRPr="00D25ACA" w:rsidRDefault="00887C51" w:rsidP="00887C51">
      <w:pPr>
        <w:pStyle w:val="BodyText"/>
        <w:tabs>
          <w:tab w:val="left" w:pos="5387"/>
        </w:tabs>
        <w:ind w:left="-180" w:right="-563"/>
        <w:rPr>
          <w:sz w:val="24"/>
          <w:szCs w:val="24"/>
        </w:rPr>
      </w:pPr>
      <w:r w:rsidRPr="00D25ACA">
        <w:rPr>
          <w:sz w:val="24"/>
          <w:szCs w:val="24"/>
        </w:rPr>
        <w:t>Sibiu</w:t>
      </w:r>
    </w:p>
    <w:p w:rsidR="00887C51" w:rsidRPr="00D25ACA" w:rsidRDefault="00887C51" w:rsidP="00887C51">
      <w:pPr>
        <w:pStyle w:val="BodyText"/>
        <w:tabs>
          <w:tab w:val="left" w:pos="5387"/>
        </w:tabs>
        <w:ind w:left="-180" w:right="-563"/>
        <w:rPr>
          <w:sz w:val="24"/>
          <w:szCs w:val="24"/>
        </w:rPr>
      </w:pPr>
    </w:p>
    <w:p w:rsidR="00887C51" w:rsidRPr="00D25ACA" w:rsidRDefault="00887C51" w:rsidP="00887C51">
      <w:pPr>
        <w:pStyle w:val="BodyText"/>
        <w:tabs>
          <w:tab w:val="left" w:pos="5387"/>
        </w:tabs>
        <w:ind w:left="-180" w:right="-563"/>
        <w:rPr>
          <w:sz w:val="24"/>
          <w:szCs w:val="24"/>
        </w:rPr>
      </w:pPr>
      <w:r w:rsidRPr="00D25ACA">
        <w:rPr>
          <w:sz w:val="24"/>
          <w:szCs w:val="24"/>
        </w:rPr>
        <w:t xml:space="preserve"> </w:t>
      </w:r>
    </w:p>
    <w:p w:rsidR="0034512C" w:rsidRDefault="0034512C">
      <w:bookmarkStart w:id="0" w:name="_GoBack"/>
      <w:bookmarkEnd w:id="0"/>
    </w:p>
    <w:sectPr w:rsidR="0034512C" w:rsidSect="0058622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657C" w:rsidRDefault="0044657C" w:rsidP="00887C51">
      <w:pPr>
        <w:spacing w:after="0" w:line="240" w:lineRule="auto"/>
      </w:pPr>
      <w:r>
        <w:separator/>
      </w:r>
    </w:p>
  </w:endnote>
  <w:endnote w:type="continuationSeparator" w:id="0">
    <w:p w:rsidR="0044657C" w:rsidRDefault="0044657C" w:rsidP="00887C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3425016"/>
      <w:docPartObj>
        <w:docPartGallery w:val="Page Numbers (Bottom of Page)"/>
        <w:docPartUnique/>
      </w:docPartObj>
    </w:sdtPr>
    <w:sdtEndPr>
      <w:rPr>
        <w:noProof/>
      </w:rPr>
    </w:sdtEndPr>
    <w:sdtContent>
      <w:p w:rsidR="00C75D32" w:rsidRDefault="0044657C">
        <w:pPr>
          <w:pStyle w:val="Footer"/>
          <w:jc w:val="center"/>
        </w:pPr>
        <w:r>
          <w:fldChar w:fldCharType="begin"/>
        </w:r>
        <w:r>
          <w:instrText xml:space="preserve"> PAGE   \* MERGEFORMAT </w:instrText>
        </w:r>
        <w:r>
          <w:fldChar w:fldCharType="separate"/>
        </w:r>
        <w:r w:rsidR="00887C51">
          <w:rPr>
            <w:noProof/>
          </w:rPr>
          <w:t>21</w:t>
        </w:r>
        <w:r>
          <w:rPr>
            <w:noProof/>
          </w:rPr>
          <w:fldChar w:fldCharType="end"/>
        </w:r>
      </w:p>
    </w:sdtContent>
  </w:sdt>
  <w:p w:rsidR="00C75D32" w:rsidRDefault="0044657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657C" w:rsidRDefault="0044657C" w:rsidP="00887C51">
      <w:pPr>
        <w:spacing w:after="0" w:line="240" w:lineRule="auto"/>
      </w:pPr>
      <w:r>
        <w:separator/>
      </w:r>
    </w:p>
  </w:footnote>
  <w:footnote w:type="continuationSeparator" w:id="0">
    <w:p w:rsidR="0044657C" w:rsidRDefault="0044657C" w:rsidP="00887C51">
      <w:pPr>
        <w:spacing w:after="0" w:line="240" w:lineRule="auto"/>
      </w:pPr>
      <w:r>
        <w:continuationSeparator/>
      </w:r>
    </w:p>
  </w:footnote>
  <w:footnote w:id="1">
    <w:p w:rsidR="00887C51" w:rsidRDefault="00887C51" w:rsidP="00887C51"/>
    <w:p w:rsidR="00887C51" w:rsidRPr="006B3EAB" w:rsidRDefault="00887C51" w:rsidP="00887C51">
      <w:pPr>
        <w:pStyle w:val="FootnoteText"/>
        <w:ind w:left="-142" w:right="-563" w:firstLine="0"/>
        <w:rPr>
          <w:sz w:val="20"/>
          <w:szCs w:val="20"/>
        </w:rPr>
      </w:pPr>
    </w:p>
  </w:footnote>
  <w:footnote w:id="2">
    <w:p w:rsidR="00887C51" w:rsidRPr="006B3EAB" w:rsidRDefault="00887C51" w:rsidP="00887C51">
      <w:pPr>
        <w:pStyle w:val="Heading3"/>
        <w:spacing w:before="0" w:after="0"/>
        <w:ind w:left="-142" w:right="-563" w:firstLine="0"/>
        <w:rPr>
          <w:rFonts w:ascii="Times New Roman" w:hAnsi="Times New Roman" w:cs="Times New Roman"/>
          <w:b w:val="0"/>
          <w:color w:val="0070C0"/>
          <w:lang w:val="en-US"/>
        </w:rPr>
      </w:pPr>
      <w:r w:rsidRPr="006B3EAB">
        <w:rPr>
          <w:rStyle w:val="FootnoteReference"/>
          <w:rFonts w:ascii="Times New Roman" w:hAnsi="Times New Roman" w:cs="Times New Roman"/>
          <w:b w:val="0"/>
        </w:rPr>
        <w:footnoteRef/>
      </w:r>
      <w:r w:rsidRPr="006B3EAB">
        <w:rPr>
          <w:rFonts w:ascii="Times New Roman" w:hAnsi="Times New Roman" w:cs="Times New Roman"/>
          <w:b w:val="0"/>
        </w:rPr>
        <w:t xml:space="preserve">Sergey Horujy, “Hermeneutics of the Human Body According to Hesychast Athropology, in the vol.: </w:t>
      </w:r>
      <w:r w:rsidRPr="006B3EAB">
        <w:rPr>
          <w:rFonts w:ascii="Times New Roman" w:hAnsi="Times New Roman" w:cs="Times New Roman"/>
          <w:b w:val="0"/>
          <w:i/>
          <w:lang w:val="en-US"/>
        </w:rPr>
        <w:t>Thinking Modernity. Towards a Reconfiguration of the Relationship between Orthodox Theology and Modern Culture</w:t>
      </w:r>
      <w:r w:rsidRPr="006B3EAB">
        <w:rPr>
          <w:rFonts w:ascii="Times New Roman" w:hAnsi="Times New Roman" w:cs="Times New Roman"/>
          <w:b w:val="0"/>
          <w:lang w:val="en-US"/>
        </w:rPr>
        <w:t xml:space="preserve">, Balamand Theological Coferences 1, Edited by Assaad E.Kattan and Fadi A.Georgi, </w:t>
      </w:r>
      <w:r w:rsidRPr="006B3EAB">
        <w:rPr>
          <w:rFonts w:ascii="Times New Roman" w:hAnsi="Times New Roman" w:cs="Times New Roman"/>
          <w:b w:val="0"/>
        </w:rPr>
        <w:t xml:space="preserve">Balamand, Lebanon; Munster, Germany: St. John of Damascus Institute of Theolgogy, University of Balamand; Westphalian Wilhem University, </w:t>
      </w:r>
      <w:r w:rsidRPr="006B3EAB">
        <w:rPr>
          <w:rFonts w:ascii="Times New Roman" w:hAnsi="Times New Roman" w:cs="Times New Roman"/>
          <w:b w:val="0"/>
          <w:lang w:val="en-US"/>
        </w:rPr>
        <w:t xml:space="preserve"> Daccache Printing House, Lebanon, 2010, p.93, (see also the pdf version on:</w:t>
      </w:r>
      <w:hyperlink r:id="rId1" w:history="1">
        <w:r w:rsidRPr="006B3EAB">
          <w:rPr>
            <w:rStyle w:val="Hyperlink"/>
            <w:rFonts w:ascii="Times New Roman" w:hAnsi="Times New Roman" w:cs="Times New Roman"/>
            <w:b w:val="0"/>
            <w:lang w:val="en-US"/>
          </w:rPr>
          <w:t>http://synergia-isa.ru/wp-content/uploads/2011/08/hor_leban_talk.pdf</w:t>
        </w:r>
      </w:hyperlink>
      <w:r w:rsidRPr="006B3EAB">
        <w:rPr>
          <w:rFonts w:ascii="Times New Roman" w:hAnsi="Times New Roman" w:cs="Times New Roman"/>
          <w:b w:val="0"/>
          <w:lang w:val="en-US"/>
        </w:rPr>
        <w:t>)</w:t>
      </w:r>
    </w:p>
  </w:footnote>
  <w:footnote w:id="3">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D. Garner, </w:t>
      </w:r>
      <w:r w:rsidRPr="006B3EAB">
        <w:rPr>
          <w:i/>
          <w:sz w:val="20"/>
          <w:szCs w:val="20"/>
        </w:rPr>
        <w:t>Body Image and Anorexia Nervosa, in Body image: A handbook of theory, research, and clinical practice</w:t>
      </w:r>
      <w:r w:rsidRPr="006B3EAB">
        <w:rPr>
          <w:sz w:val="20"/>
          <w:szCs w:val="20"/>
        </w:rPr>
        <w:t>, T.F. Cash and T. Pruzinsky (eds.), Guilford, New York, 2002, 40</w:t>
      </w:r>
    </w:p>
  </w:footnote>
  <w:footnote w:id="4">
    <w:p w:rsidR="00887C51" w:rsidRPr="006B3EAB" w:rsidRDefault="00887C51" w:rsidP="00887C51">
      <w:pPr>
        <w:pStyle w:val="NormalWeb"/>
        <w:spacing w:before="0" w:beforeAutospacing="0" w:after="0" w:afterAutospacing="0"/>
        <w:ind w:left="-142" w:right="-563"/>
        <w:rPr>
          <w:sz w:val="20"/>
          <w:szCs w:val="20"/>
        </w:rPr>
      </w:pPr>
      <w:r w:rsidRPr="006B3EAB">
        <w:rPr>
          <w:rStyle w:val="FootnoteReference"/>
        </w:rPr>
        <w:footnoteRef/>
      </w:r>
      <w:r w:rsidRPr="006B3EAB">
        <w:rPr>
          <w:sz w:val="20"/>
          <w:szCs w:val="20"/>
        </w:rPr>
        <w:t xml:space="preserve"> Andrei Holman, </w:t>
      </w:r>
      <w:r w:rsidRPr="006B3EAB">
        <w:rPr>
          <w:i/>
          <w:iCs/>
          <w:sz w:val="20"/>
          <w:szCs w:val="20"/>
        </w:rPr>
        <w:t>Religion and the body an overview of the insertions of religion in the empirical psycho-social research lines on the body</w:t>
      </w:r>
      <w:r w:rsidRPr="006B3EAB">
        <w:rPr>
          <w:sz w:val="20"/>
          <w:szCs w:val="20"/>
        </w:rPr>
        <w:t xml:space="preserve">, în </w:t>
      </w:r>
      <w:r w:rsidRPr="006B3EAB">
        <w:rPr>
          <w:bCs/>
          <w:sz w:val="20"/>
          <w:szCs w:val="20"/>
        </w:rPr>
        <w:t>European Journal of Science and Theology</w:t>
      </w:r>
      <w:r w:rsidRPr="006B3EAB">
        <w:rPr>
          <w:sz w:val="20"/>
          <w:szCs w:val="20"/>
        </w:rPr>
        <w:t xml:space="preserve">, September 2012, Vol.8, No.3, p. 128. </w:t>
      </w:r>
    </w:p>
  </w:footnote>
  <w:footnote w:id="5">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Plotin, </w:t>
      </w:r>
      <w:r w:rsidRPr="006B3EAB">
        <w:rPr>
          <w:i/>
          <w:iCs/>
          <w:sz w:val="20"/>
          <w:szCs w:val="20"/>
        </w:rPr>
        <w:t>Opere I</w:t>
      </w:r>
      <w:r w:rsidRPr="006B3EAB">
        <w:rPr>
          <w:sz w:val="20"/>
          <w:szCs w:val="20"/>
        </w:rPr>
        <w:t xml:space="preserve">, trad., note: Andrei Cornea, Bucureşti, Editura Humanitas, 2003, p. 262. </w:t>
      </w:r>
    </w:p>
  </w:footnote>
  <w:footnote w:id="6">
    <w:p w:rsidR="00887C51" w:rsidRPr="006B3EAB" w:rsidRDefault="00887C51" w:rsidP="00887C51">
      <w:pPr>
        <w:pStyle w:val="FootnoteText"/>
        <w:ind w:left="-142" w:right="-563"/>
        <w:rPr>
          <w:sz w:val="20"/>
          <w:szCs w:val="20"/>
          <w:u w:val="single"/>
        </w:rPr>
      </w:pPr>
      <w:r w:rsidRPr="006B3EAB">
        <w:rPr>
          <w:rStyle w:val="FootnoteReference"/>
        </w:rPr>
        <w:footnoteRef/>
      </w:r>
      <w:r w:rsidRPr="006B3EAB">
        <w:rPr>
          <w:sz w:val="20"/>
          <w:szCs w:val="20"/>
        </w:rPr>
        <w:t xml:space="preserve"> </w:t>
      </w:r>
      <w:r w:rsidRPr="006B3EAB">
        <w:rPr>
          <w:bCs/>
          <w:i/>
          <w:iCs/>
          <w:sz w:val="20"/>
          <w:szCs w:val="20"/>
        </w:rPr>
        <w:t>Upanişad</w:t>
      </w:r>
      <w:r w:rsidRPr="006B3EAB">
        <w:rPr>
          <w:sz w:val="20"/>
          <w:szCs w:val="20"/>
        </w:rPr>
        <w:t xml:space="preserve">, ed. a II-a, revăzută şi adăugită, trad. din sanskrită, note introd., comentarii: Ovidiu Cristian Nedu, Bucureşti, Editura Herald, 2006, p. 39.  </w:t>
      </w:r>
    </w:p>
  </w:footnote>
  <w:footnote w:id="7">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bCs/>
          <w:i/>
          <w:iCs/>
          <w:sz w:val="20"/>
          <w:szCs w:val="20"/>
        </w:rPr>
        <w:t>Advaita Ved</w:t>
      </w:r>
      <w:r w:rsidRPr="006B3EAB">
        <w:rPr>
          <w:bCs/>
          <w:i/>
          <w:iCs/>
          <w:spacing w:val="-2"/>
          <w:sz w:val="20"/>
          <w:szCs w:val="20"/>
        </w:rPr>
        <w:t>ā</w:t>
      </w:r>
      <w:r w:rsidRPr="006B3EAB">
        <w:rPr>
          <w:bCs/>
          <w:i/>
          <w:iCs/>
          <w:sz w:val="20"/>
          <w:szCs w:val="20"/>
        </w:rPr>
        <w:t xml:space="preserve">nta </w:t>
      </w:r>
      <w:r w:rsidRPr="006B3EAB">
        <w:rPr>
          <w:i/>
          <w:iCs/>
          <w:sz w:val="20"/>
          <w:szCs w:val="20"/>
        </w:rPr>
        <w:t>– Gaudap</w:t>
      </w:r>
      <w:r w:rsidRPr="006B3EAB">
        <w:rPr>
          <w:i/>
          <w:iCs/>
          <w:spacing w:val="-2"/>
          <w:sz w:val="20"/>
          <w:szCs w:val="20"/>
        </w:rPr>
        <w:t>ā</w:t>
      </w:r>
      <w:r w:rsidRPr="006B3EAB">
        <w:rPr>
          <w:i/>
          <w:iCs/>
          <w:sz w:val="20"/>
          <w:szCs w:val="20"/>
        </w:rPr>
        <w:t>da-Śankara-Sad</w:t>
      </w:r>
      <w:r w:rsidRPr="006B3EAB">
        <w:rPr>
          <w:i/>
          <w:iCs/>
          <w:spacing w:val="-2"/>
          <w:sz w:val="20"/>
          <w:szCs w:val="20"/>
        </w:rPr>
        <w:t>ā</w:t>
      </w:r>
      <w:r w:rsidRPr="006B3EAB">
        <w:rPr>
          <w:i/>
          <w:iCs/>
          <w:sz w:val="20"/>
          <w:szCs w:val="20"/>
        </w:rPr>
        <w:t>nanda</w:t>
      </w:r>
      <w:r w:rsidRPr="006B3EAB">
        <w:rPr>
          <w:sz w:val="20"/>
          <w:szCs w:val="20"/>
        </w:rPr>
        <w:t xml:space="preserve"> (Doctrina şi tratatele clasice), studiu, trad. din sanskrită, note, comentarii: Ovidiu Cristian Nedu, Bucureşti, Editura Herald, 2002, p. 26. </w:t>
      </w:r>
    </w:p>
  </w:footnote>
  <w:footnote w:id="8">
    <w:p w:rsidR="00887C51" w:rsidRPr="006B3EAB" w:rsidRDefault="00887C51" w:rsidP="00887C51">
      <w:pPr>
        <w:pStyle w:val="FootnoteText"/>
        <w:ind w:left="-142" w:right="-563" w:firstLine="0"/>
        <w:rPr>
          <w:sz w:val="20"/>
          <w:szCs w:val="20"/>
        </w:rPr>
      </w:pPr>
      <w:r w:rsidRPr="006B3EAB">
        <w:rPr>
          <w:rStyle w:val="FootnoteReference"/>
        </w:rPr>
        <w:footnoteRef/>
      </w:r>
      <w:r w:rsidRPr="006B3EAB">
        <w:rPr>
          <w:sz w:val="20"/>
          <w:szCs w:val="20"/>
        </w:rPr>
        <w:t xml:space="preserve"> Pentru o foarte buna introducere a se vedea: http://www.crestinortodox.ro/carti-ortodoxe/darul-sacru-vietii/revolutia-sexuala-79873.html</w:t>
      </w:r>
    </w:p>
  </w:footnote>
  <w:footnote w:id="9">
    <w:p w:rsidR="00887C51" w:rsidRPr="006B3EAB" w:rsidRDefault="00887C51" w:rsidP="00887C51">
      <w:pPr>
        <w:pStyle w:val="FootnoteText"/>
        <w:ind w:left="-142" w:right="-563"/>
        <w:rPr>
          <w:sz w:val="20"/>
          <w:szCs w:val="20"/>
        </w:rPr>
      </w:pPr>
      <w:r w:rsidRPr="006B3EAB">
        <w:rPr>
          <w:sz w:val="20"/>
          <w:szCs w:val="20"/>
        </w:rPr>
        <w:t xml:space="preserve">     </w:t>
      </w:r>
      <w:r w:rsidRPr="006B3EAB">
        <w:rPr>
          <w:rStyle w:val="FootnoteReference"/>
        </w:rPr>
        <w:footnoteRef/>
      </w:r>
      <w:r w:rsidRPr="006B3EAB">
        <w:rPr>
          <w:sz w:val="20"/>
          <w:szCs w:val="20"/>
        </w:rPr>
        <w:t xml:space="preserve"> Sergey Horujy, </w:t>
      </w:r>
      <w:r w:rsidRPr="006B3EAB">
        <w:rPr>
          <w:i/>
          <w:sz w:val="20"/>
          <w:szCs w:val="20"/>
        </w:rPr>
        <w:t>op.cit.</w:t>
      </w:r>
      <w:r w:rsidRPr="006B3EAB">
        <w:rPr>
          <w:sz w:val="20"/>
          <w:szCs w:val="20"/>
        </w:rPr>
        <w:t>,  p.102</w:t>
      </w:r>
    </w:p>
  </w:footnote>
  <w:footnote w:id="10">
    <w:p w:rsidR="00887C51" w:rsidRPr="006B3EAB" w:rsidRDefault="00887C51" w:rsidP="00887C51">
      <w:pPr>
        <w:pStyle w:val="BodyText"/>
        <w:ind w:left="-142" w:right="-563" w:firstLine="0"/>
      </w:pPr>
      <w:r w:rsidRPr="006B3EAB">
        <w:rPr>
          <w:rStyle w:val="FootnoteReference"/>
        </w:rPr>
        <w:footnoteRef/>
      </w:r>
      <w:r w:rsidRPr="006B3EAB">
        <w:t xml:space="preserve"> John Webster, „Eschatology, Anthropology and Postmodernity, International Journal of Systematic Theology,Volume 2,Number 1,March 2000, p.13. </w:t>
      </w:r>
      <w:r w:rsidRPr="006B3EAB">
        <w:rPr>
          <w:bCs/>
        </w:rPr>
        <w:t xml:space="preserve">  </w:t>
      </w:r>
    </w:p>
  </w:footnote>
  <w:footnote w:id="11">
    <w:p w:rsidR="00887C51" w:rsidRPr="006B3EAB" w:rsidRDefault="00887C51" w:rsidP="00887C51">
      <w:pPr>
        <w:pStyle w:val="FootnoteText"/>
        <w:ind w:left="-142" w:right="-563" w:firstLine="0"/>
        <w:rPr>
          <w:sz w:val="20"/>
          <w:szCs w:val="20"/>
        </w:rPr>
      </w:pPr>
      <w:r w:rsidRPr="006B3EAB">
        <w:rPr>
          <w:rStyle w:val="FootnoteReference"/>
        </w:rPr>
        <w:footnoteRef/>
      </w:r>
      <w:r w:rsidRPr="006B3EAB">
        <w:rPr>
          <w:rStyle w:val="FootnoteReference"/>
        </w:rPr>
        <w:t xml:space="preserve"> </w:t>
      </w:r>
      <w:r w:rsidRPr="006B3EAB">
        <w:rPr>
          <w:sz w:val="20"/>
          <w:szCs w:val="20"/>
        </w:rPr>
        <w:t xml:space="preserve"> (</w:t>
      </w:r>
      <w:hyperlink r:id="rId2" w:history="1">
        <w:r w:rsidRPr="006B3EAB">
          <w:rPr>
            <w:rStyle w:val="Hyperlink"/>
            <w:sz w:val="20"/>
            <w:szCs w:val="20"/>
          </w:rPr>
          <w:t>http://chemistry.about.com/b/2011/02/06/how-much-are-the-elements-in-your-body-worth.htm</w:t>
        </w:r>
      </w:hyperlink>
      <w:r w:rsidRPr="006B3EAB">
        <w:rPr>
          <w:sz w:val="20"/>
          <w:szCs w:val="20"/>
        </w:rPr>
        <w:t xml:space="preserve"> [on 1 November 2012])</w:t>
      </w:r>
    </w:p>
  </w:footnote>
  <w:footnote w:id="12">
    <w:p w:rsidR="00887C51" w:rsidRPr="006B3EAB" w:rsidRDefault="00887C51" w:rsidP="00887C51">
      <w:pPr>
        <w:pStyle w:val="FootnoteText"/>
        <w:ind w:left="-142" w:right="-563" w:firstLine="0"/>
        <w:rPr>
          <w:sz w:val="20"/>
          <w:szCs w:val="20"/>
        </w:rPr>
      </w:pPr>
      <w:r w:rsidRPr="006B3EAB">
        <w:rPr>
          <w:rStyle w:val="FootnoteReference"/>
        </w:rPr>
        <w:footnoteRef/>
      </w:r>
      <w:r w:rsidRPr="006B3EAB">
        <w:rPr>
          <w:sz w:val="20"/>
          <w:szCs w:val="20"/>
        </w:rPr>
        <w:t xml:space="preserve"> În slavonă și în poloneză însemnă și </w:t>
      </w:r>
      <w:r w:rsidRPr="006B3EAB">
        <w:rPr>
          <w:i/>
          <w:sz w:val="20"/>
          <w:szCs w:val="20"/>
        </w:rPr>
        <w:t>cadavru</w:t>
      </w:r>
      <w:r w:rsidRPr="006B3EAB">
        <w:rPr>
          <w:sz w:val="20"/>
          <w:szCs w:val="20"/>
        </w:rPr>
        <w:t>, v.: http://dexonline.net/definitie-trup</w:t>
      </w:r>
    </w:p>
  </w:footnote>
  <w:footnote w:id="13">
    <w:p w:rsidR="00887C51" w:rsidRPr="006B3EAB" w:rsidRDefault="00887C51" w:rsidP="00887C51">
      <w:pPr>
        <w:pStyle w:val="BodyText"/>
        <w:ind w:left="-142" w:right="-563" w:firstLine="0"/>
        <w:rPr>
          <w:bCs/>
        </w:rPr>
      </w:pPr>
      <w:r w:rsidRPr="006B3EAB">
        <w:rPr>
          <w:rStyle w:val="FootnoteReference"/>
        </w:rPr>
        <w:footnoteRef/>
      </w:r>
      <w:r w:rsidRPr="006B3EAB">
        <w:t xml:space="preserve"> </w:t>
      </w:r>
      <w:r w:rsidRPr="006B3EAB">
        <w:rPr>
          <w:color w:val="000000"/>
          <w:shd w:val="clear" w:color="auto" w:fill="FFFFFF"/>
        </w:rPr>
        <w:t>Constantin Noica,</w:t>
      </w:r>
      <w:r w:rsidRPr="006B3EAB">
        <w:rPr>
          <w:i/>
          <w:iCs/>
          <w:color w:val="000000"/>
          <w:shd w:val="clear" w:color="auto" w:fill="FFFFFF"/>
        </w:rPr>
        <w:t xml:space="preserve"> Cuvânt împreună despre rostirea românească</w:t>
      </w:r>
      <w:r w:rsidRPr="006B3EAB">
        <w:rPr>
          <w:color w:val="000000"/>
          <w:shd w:val="clear" w:color="auto" w:fill="FFFFFF"/>
        </w:rPr>
        <w:t>, Bucureşti, Editura Humanitas, 1996, p. 99.</w:t>
      </w:r>
    </w:p>
  </w:footnote>
  <w:footnote w:id="14">
    <w:p w:rsidR="00887C51" w:rsidRPr="006B3EAB" w:rsidRDefault="00887C51" w:rsidP="00887C51">
      <w:pPr>
        <w:pStyle w:val="FootnoteText"/>
        <w:ind w:left="-142" w:right="-563"/>
        <w:rPr>
          <w:sz w:val="20"/>
          <w:szCs w:val="20"/>
        </w:rPr>
      </w:pPr>
      <w:r w:rsidRPr="006B3EAB">
        <w:rPr>
          <w:sz w:val="20"/>
          <w:szCs w:val="20"/>
        </w:rPr>
        <w:t xml:space="preserve">      </w:t>
      </w:r>
      <w:r w:rsidRPr="006B3EAB">
        <w:rPr>
          <w:rStyle w:val="FootnoteReference"/>
        </w:rPr>
        <w:footnoteRef/>
      </w:r>
      <w:r w:rsidRPr="006B3EAB">
        <w:rPr>
          <w:sz w:val="20"/>
          <w:szCs w:val="20"/>
        </w:rPr>
        <w:t xml:space="preserve"> Platon, </w:t>
      </w:r>
      <w:r w:rsidRPr="006B3EAB">
        <w:rPr>
          <w:i/>
          <w:iCs/>
          <w:sz w:val="20"/>
          <w:szCs w:val="20"/>
        </w:rPr>
        <w:t xml:space="preserve">Republica - </w:t>
      </w:r>
      <w:r w:rsidRPr="006B3EAB">
        <w:rPr>
          <w:sz w:val="20"/>
          <w:szCs w:val="20"/>
        </w:rPr>
        <w:t xml:space="preserve">Cartea a IX-a, trad. Dumitru Vanghelis, Bucureşti, Editura Antet, p. 296. </w:t>
      </w:r>
    </w:p>
  </w:footnote>
  <w:footnote w:id="15">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I.P. Culianu, </w:t>
      </w:r>
      <w:r w:rsidRPr="006B3EAB">
        <w:rPr>
          <w:i/>
          <w:iCs/>
          <w:sz w:val="20"/>
          <w:szCs w:val="20"/>
        </w:rPr>
        <w:t>Eros şi Magie în Renaştere 1484</w:t>
      </w:r>
      <w:r w:rsidRPr="006B3EAB">
        <w:rPr>
          <w:sz w:val="20"/>
          <w:szCs w:val="20"/>
        </w:rPr>
        <w:t xml:space="preserve">, Bucureşti, Editura Nemira, 1994, pp. 192-193. </w:t>
      </w:r>
    </w:p>
  </w:footnote>
  <w:footnote w:id="16">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Constantin Noica, </w:t>
      </w:r>
      <w:r w:rsidRPr="006B3EAB">
        <w:rPr>
          <w:i/>
          <w:iCs/>
          <w:sz w:val="20"/>
          <w:szCs w:val="20"/>
        </w:rPr>
        <w:t>Cuvânt împreună despre rostirea românească</w:t>
      </w:r>
      <w:r w:rsidRPr="006B3EAB">
        <w:rPr>
          <w:sz w:val="20"/>
          <w:szCs w:val="20"/>
        </w:rPr>
        <w:t xml:space="preserve">, Bucureşti, Editura Humanitas, 1996, p. 104. </w:t>
      </w:r>
    </w:p>
  </w:footnote>
  <w:footnote w:id="17">
    <w:p w:rsidR="00887C51" w:rsidRPr="006B3EAB" w:rsidRDefault="00887C51" w:rsidP="00887C51">
      <w:pPr>
        <w:pStyle w:val="FootnoteText"/>
        <w:ind w:left="-142" w:right="-563" w:firstLine="0"/>
        <w:rPr>
          <w:sz w:val="20"/>
          <w:szCs w:val="20"/>
        </w:rPr>
      </w:pPr>
      <w:r w:rsidRPr="006B3EAB">
        <w:rPr>
          <w:rStyle w:val="FootnoteReference"/>
        </w:rPr>
        <w:footnoteRef/>
      </w:r>
      <w:r w:rsidRPr="006B3EAB">
        <w:rPr>
          <w:sz w:val="20"/>
          <w:szCs w:val="20"/>
        </w:rPr>
        <w:t xml:space="preserve"> Mircea Vulcănescu, </w:t>
      </w:r>
      <w:r w:rsidRPr="006B3EAB">
        <w:rPr>
          <w:i/>
          <w:iCs/>
          <w:sz w:val="20"/>
          <w:szCs w:val="20"/>
        </w:rPr>
        <w:t>Către fiinţa spiritualităţii româneşti - Dimensiunea românească a existenţei</w:t>
      </w:r>
      <w:r w:rsidRPr="006B3EAB">
        <w:rPr>
          <w:sz w:val="20"/>
          <w:szCs w:val="20"/>
        </w:rPr>
        <w:t xml:space="preserve">, vol. 3, selecţia textelor, note, comentarii: Marin Diaconu, Zaharia Balica, Bucureşti, Editura Mihai Eminescu, 1996, p. 156. </w:t>
      </w:r>
    </w:p>
  </w:footnote>
  <w:footnote w:id="18">
    <w:p w:rsidR="00887C51" w:rsidRPr="006B3EAB" w:rsidRDefault="00887C51" w:rsidP="00887C51">
      <w:pPr>
        <w:widowControl w:val="0"/>
        <w:spacing w:after="0" w:line="240" w:lineRule="auto"/>
        <w:ind w:left="-142" w:right="-563"/>
        <w:jc w:val="both"/>
        <w:rPr>
          <w:rFonts w:ascii="Times New Roman" w:hAnsi="Times New Roman"/>
          <w:sz w:val="20"/>
          <w:szCs w:val="20"/>
        </w:rPr>
      </w:pPr>
      <w:r w:rsidRPr="006B3EAB">
        <w:rPr>
          <w:rStyle w:val="FootnoteReference"/>
          <w:rFonts w:ascii="Times New Roman" w:hAnsi="Times New Roman"/>
        </w:rPr>
        <w:footnoteRef/>
      </w:r>
      <w:r w:rsidRPr="006B3EAB">
        <w:rPr>
          <w:rFonts w:ascii="Times New Roman" w:hAnsi="Times New Roman"/>
          <w:spacing w:val="-6"/>
          <w:sz w:val="20"/>
          <w:szCs w:val="20"/>
          <w:lang w:val="ro-RO"/>
        </w:rPr>
        <w:t>C. Enăchescu,</w:t>
      </w:r>
      <w:r w:rsidRPr="006B3EAB">
        <w:rPr>
          <w:rFonts w:ascii="Times New Roman" w:hAnsi="Times New Roman"/>
          <w:i/>
          <w:spacing w:val="-6"/>
          <w:sz w:val="20"/>
          <w:szCs w:val="20"/>
          <w:lang w:val="ro-RO"/>
        </w:rPr>
        <w:t xml:space="preserve"> </w:t>
      </w:r>
      <w:r w:rsidRPr="006B3EAB">
        <w:rPr>
          <w:rFonts w:ascii="Times New Roman" w:hAnsi="Times New Roman"/>
          <w:i/>
          <w:iCs/>
          <w:color w:val="000000"/>
          <w:spacing w:val="-6"/>
          <w:sz w:val="20"/>
          <w:szCs w:val="20"/>
          <w:lang w:val="ro-RO"/>
        </w:rPr>
        <w:t>Fenomenologia trupului</w:t>
      </w:r>
      <w:r w:rsidRPr="006B3EAB">
        <w:rPr>
          <w:rFonts w:ascii="Times New Roman" w:hAnsi="Times New Roman"/>
          <w:i/>
          <w:spacing w:val="-6"/>
          <w:sz w:val="20"/>
          <w:szCs w:val="20"/>
          <w:lang w:val="ro-RO"/>
        </w:rPr>
        <w:t xml:space="preserve"> - Locul şi semnificaţia Trupului carnal în Psihologia Persoanei</w:t>
      </w:r>
      <w:r w:rsidRPr="006B3EAB">
        <w:rPr>
          <w:rFonts w:ascii="Times New Roman" w:hAnsi="Times New Roman"/>
          <w:spacing w:val="-6"/>
          <w:sz w:val="20"/>
          <w:szCs w:val="20"/>
          <w:lang w:val="ro-RO"/>
        </w:rPr>
        <w:t>, Paideia, Bucureşti, 2005, p.129.</w:t>
      </w:r>
      <w:r w:rsidRPr="006B3EAB">
        <w:rPr>
          <w:rFonts w:ascii="Times New Roman" w:hAnsi="Times New Roman"/>
          <w:sz w:val="20"/>
          <w:szCs w:val="20"/>
        </w:rPr>
        <w:t xml:space="preserve">  </w:t>
      </w:r>
    </w:p>
  </w:footnote>
  <w:footnote w:id="19">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sz w:val="20"/>
          <w:szCs w:val="20"/>
        </w:rPr>
        <w:tab/>
      </w:r>
      <w:r w:rsidRPr="006B3EAB">
        <w:rPr>
          <w:spacing w:val="-2"/>
          <w:sz w:val="20"/>
          <w:szCs w:val="20"/>
        </w:rPr>
        <w:t>Claude Tresmontant,</w:t>
      </w:r>
      <w:r w:rsidRPr="006B3EAB">
        <w:rPr>
          <w:i/>
          <w:iCs/>
          <w:spacing w:val="-2"/>
          <w:sz w:val="20"/>
          <w:szCs w:val="20"/>
        </w:rPr>
        <w:t xml:space="preserve"> </w:t>
      </w:r>
      <w:r w:rsidRPr="006B3EAB">
        <w:rPr>
          <w:bCs/>
          <w:i/>
          <w:spacing w:val="-2"/>
          <w:sz w:val="20"/>
          <w:szCs w:val="20"/>
        </w:rPr>
        <w:t>Le problème de l’âme</w:t>
      </w:r>
      <w:r w:rsidRPr="006B3EAB">
        <w:rPr>
          <w:spacing w:val="-2"/>
          <w:sz w:val="20"/>
          <w:szCs w:val="20"/>
        </w:rPr>
        <w:t xml:space="preserve">, Paris, Éditions du Seuil, 1971, carte recenzată de Constantin Iana, în “Ortodoxia”, nr. 2 (1971), p. 234 </w:t>
      </w:r>
    </w:p>
  </w:footnote>
  <w:footnote w:id="20">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Marcel Olinescu, </w:t>
      </w:r>
      <w:r w:rsidRPr="006B3EAB">
        <w:rPr>
          <w:i/>
          <w:sz w:val="20"/>
          <w:szCs w:val="20"/>
        </w:rPr>
        <w:t>Mitologie românească</w:t>
      </w:r>
      <w:r w:rsidRPr="006B3EAB">
        <w:rPr>
          <w:sz w:val="20"/>
          <w:szCs w:val="20"/>
        </w:rPr>
        <w:t xml:space="preserve">, Bucureşti, Editura Gramar, 2008, p. 41.  </w:t>
      </w:r>
    </w:p>
  </w:footnote>
  <w:footnote w:id="21">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Arhim. Iustin Popovici, </w:t>
      </w:r>
      <w:r w:rsidRPr="006B3EAB">
        <w:rPr>
          <w:bCs/>
          <w:i/>
          <w:iCs/>
          <w:sz w:val="20"/>
          <w:szCs w:val="20"/>
        </w:rPr>
        <w:t>Omul şi Dumnezeul-om</w:t>
      </w:r>
      <w:r w:rsidRPr="006B3EAB">
        <w:rPr>
          <w:i/>
          <w:iCs/>
          <w:sz w:val="20"/>
          <w:szCs w:val="20"/>
        </w:rPr>
        <w:t xml:space="preserve"> – Abisurile şi culmile filosofiei</w:t>
      </w:r>
      <w:r w:rsidRPr="006B3EAB">
        <w:rPr>
          <w:sz w:val="20"/>
          <w:szCs w:val="20"/>
        </w:rPr>
        <w:t xml:space="preserve">, studiu introd. şi trad.: pr. prof. Ioan Ică şi diac. Ioan I. Ică jr., pref.: Ioannis N. Karmiris, postfaţă: Panayotis Nellas, Sibiu, Editura Deisis, 1997, p. 44-45.  </w:t>
      </w:r>
    </w:p>
  </w:footnote>
  <w:footnote w:id="22">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Michel Henry, </w:t>
      </w:r>
      <w:r w:rsidRPr="006B3EAB">
        <w:rPr>
          <w:i/>
          <w:iCs/>
          <w:sz w:val="20"/>
          <w:szCs w:val="20"/>
        </w:rPr>
        <w:t>Întrupare. O filozofie a trupului</w:t>
      </w:r>
      <w:r w:rsidRPr="006B3EAB">
        <w:rPr>
          <w:sz w:val="20"/>
          <w:szCs w:val="20"/>
        </w:rPr>
        <w:t xml:space="preserve">, prezentare şi trad.: Ioan I. Ică jr., Sibiu, Editura Deisis, 2003, pp. 24-25. </w:t>
      </w:r>
    </w:p>
  </w:footnote>
  <w:footnote w:id="23">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Sarah Coakley - editor, </w:t>
      </w:r>
      <w:r w:rsidRPr="006B3EAB">
        <w:rPr>
          <w:i/>
          <w:iCs/>
          <w:sz w:val="20"/>
          <w:szCs w:val="20"/>
        </w:rPr>
        <w:t>Religia şi trupul</w:t>
      </w:r>
      <w:r w:rsidRPr="006B3EAB">
        <w:rPr>
          <w:sz w:val="20"/>
          <w:szCs w:val="20"/>
        </w:rPr>
        <w:t>, trad. Dan Şerban Sava, Bucureşti, Editura Univers, 2003, p. 111.</w:t>
      </w:r>
    </w:p>
  </w:footnote>
  <w:footnote w:id="24">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José Ruiz Fernández, </w:t>
      </w:r>
      <w:r w:rsidRPr="006B3EAB">
        <w:rPr>
          <w:i/>
          <w:iCs/>
          <w:sz w:val="20"/>
          <w:szCs w:val="20"/>
        </w:rPr>
        <w:t>Logos and Immanence in Michel Henry’s Phenomenoloy</w:t>
      </w:r>
      <w:r w:rsidRPr="006B3EAB">
        <w:rPr>
          <w:sz w:val="20"/>
          <w:szCs w:val="20"/>
        </w:rPr>
        <w:t>, în „Studia Ph</w:t>
      </w:r>
      <w:r w:rsidRPr="006B3EAB">
        <w:rPr>
          <w:i/>
          <w:iCs/>
          <w:sz w:val="20"/>
          <w:szCs w:val="20"/>
        </w:rPr>
        <w:t>ae</w:t>
      </w:r>
      <w:r w:rsidRPr="006B3EAB">
        <w:rPr>
          <w:sz w:val="20"/>
          <w:szCs w:val="20"/>
        </w:rPr>
        <w:t xml:space="preserve">nomenologica”, vol. IX / 2009, 83-96, Bucureşti, Editura Humanitas, p. 84. </w:t>
      </w:r>
    </w:p>
  </w:footnote>
  <w:footnote w:id="25">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Peter Brown, </w:t>
      </w:r>
      <w:r w:rsidRPr="006B3EAB">
        <w:rPr>
          <w:i/>
          <w:iCs/>
          <w:sz w:val="20"/>
          <w:szCs w:val="20"/>
        </w:rPr>
        <w:t>Trupul şi societatea</w:t>
      </w:r>
      <w:r w:rsidRPr="006B3EAB">
        <w:rPr>
          <w:sz w:val="20"/>
          <w:szCs w:val="20"/>
        </w:rPr>
        <w:t>, Bucureşti, Editura Rao, trad. Ioana Zirra, 2000, p. 19</w:t>
      </w:r>
    </w:p>
  </w:footnote>
  <w:footnote w:id="26">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i/>
          <w:sz w:val="20"/>
          <w:szCs w:val="20"/>
        </w:rPr>
        <w:t>Ibidem</w:t>
      </w:r>
      <w:r w:rsidRPr="006B3EAB">
        <w:rPr>
          <w:sz w:val="20"/>
          <w:szCs w:val="20"/>
        </w:rPr>
        <w:t xml:space="preserve">, p. 455. </w:t>
      </w:r>
    </w:p>
  </w:footnote>
  <w:footnote w:id="27">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H.Tristram Engelhardt jr., </w:t>
      </w:r>
      <w:r w:rsidRPr="006B3EAB">
        <w:rPr>
          <w:i/>
          <w:iCs/>
          <w:sz w:val="20"/>
          <w:szCs w:val="20"/>
        </w:rPr>
        <w:t>Fundamentele bioeticii creştine – perspectiva ortodoxă</w:t>
      </w:r>
      <w:r w:rsidRPr="006B3EAB">
        <w:rPr>
          <w:sz w:val="20"/>
          <w:szCs w:val="20"/>
        </w:rPr>
        <w:t>, prezentare: Sebastian Moldovan, trad.: diac. Ioan I. Ică jr., M. Neamţu, Cezar Longin, Sibiu, Editura Deisis, 2005, p. 214.</w:t>
      </w:r>
    </w:p>
  </w:footnote>
  <w:footnote w:id="28">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Olivier Clement, </w:t>
      </w:r>
      <w:r w:rsidRPr="006B3EAB">
        <w:rPr>
          <w:i/>
          <w:iCs/>
          <w:sz w:val="20"/>
          <w:szCs w:val="20"/>
        </w:rPr>
        <w:t>Întrebări asupra omului</w:t>
      </w:r>
      <w:r w:rsidRPr="006B3EAB">
        <w:rPr>
          <w:sz w:val="20"/>
          <w:szCs w:val="20"/>
        </w:rPr>
        <w:t>, cu binecuvântarea P.S. Andrei Episcopul Alba-Iuliei, prefață de Pr.Boris Bobrinskoy,t.r. Ierom. Iosif Pop şi Pr. Ciprian Şpan, Alba-Iulia, Editura Episcopia Ortodoxă Română Alba-Iulia, 1997, p. 75.</w:t>
      </w:r>
    </w:p>
  </w:footnote>
  <w:footnote w:id="29">
    <w:p w:rsidR="00887C51" w:rsidRPr="006B3EAB" w:rsidRDefault="00887C51" w:rsidP="00887C51">
      <w:pPr>
        <w:spacing w:after="0" w:line="240" w:lineRule="auto"/>
        <w:ind w:left="-142" w:right="-563"/>
        <w:rPr>
          <w:rFonts w:ascii="Times New Roman" w:hAnsi="Times New Roman"/>
          <w:i/>
          <w:iCs/>
          <w:color w:val="222222"/>
          <w:sz w:val="20"/>
          <w:szCs w:val="20"/>
          <w:shd w:val="clear" w:color="auto" w:fill="FFFFFF"/>
          <w:lang w:val="ro-RO"/>
        </w:rPr>
      </w:pPr>
      <w:r w:rsidRPr="006B3EAB">
        <w:rPr>
          <w:rStyle w:val="FootnoteReference"/>
          <w:rFonts w:ascii="Times New Roman" w:hAnsi="Times New Roman"/>
        </w:rPr>
        <w:footnoteRef/>
      </w:r>
      <w:r w:rsidRPr="006B3EAB">
        <w:rPr>
          <w:rFonts w:ascii="Times New Roman" w:hAnsi="Times New Roman"/>
          <w:sz w:val="20"/>
          <w:szCs w:val="20"/>
        </w:rPr>
        <w:t xml:space="preserve"> Răzvan Brudiu, </w:t>
      </w:r>
      <w:r w:rsidRPr="006B3EAB">
        <w:rPr>
          <w:rFonts w:ascii="Times New Roman" w:hAnsi="Times New Roman"/>
          <w:i/>
          <w:iCs/>
          <w:color w:val="222222"/>
          <w:sz w:val="20"/>
          <w:szCs w:val="20"/>
          <w:shd w:val="clear" w:color="auto" w:fill="FFFFFF"/>
          <w:lang w:val="ro-RO"/>
        </w:rPr>
        <w:t xml:space="preserve">Human suffering and its healing according to Jean-Claude Larchet, </w:t>
      </w:r>
      <w:r w:rsidRPr="006B3EAB">
        <w:rPr>
          <w:rFonts w:ascii="Times New Roman" w:hAnsi="Times New Roman"/>
          <w:color w:val="222222"/>
          <w:sz w:val="20"/>
          <w:szCs w:val="20"/>
          <w:shd w:val="clear" w:color="auto" w:fill="FFFFFF"/>
          <w:lang w:val="ro-RO"/>
        </w:rPr>
        <w:t>în</w:t>
      </w:r>
      <w:r w:rsidRPr="006B3EAB">
        <w:rPr>
          <w:rFonts w:ascii="Times New Roman" w:hAnsi="Times New Roman"/>
          <w:i/>
          <w:iCs/>
          <w:color w:val="222222"/>
          <w:sz w:val="20"/>
          <w:szCs w:val="20"/>
          <w:shd w:val="clear" w:color="auto" w:fill="FFFFFF"/>
          <w:lang w:val="ro-RO"/>
        </w:rPr>
        <w:t xml:space="preserve"> </w:t>
      </w:r>
      <w:r w:rsidRPr="006B3EAB">
        <w:rPr>
          <w:rFonts w:ascii="Times New Roman" w:hAnsi="Times New Roman"/>
          <w:bCs/>
          <w:sz w:val="20"/>
          <w:szCs w:val="20"/>
        </w:rPr>
        <w:t>European Journal of Science and Theology</w:t>
      </w:r>
      <w:r w:rsidRPr="006B3EAB">
        <w:rPr>
          <w:rFonts w:ascii="Times New Roman" w:hAnsi="Times New Roman"/>
          <w:sz w:val="20"/>
          <w:szCs w:val="20"/>
        </w:rPr>
        <w:t xml:space="preserve">, September 2012, Vol.8, Supplement 2, p. 282.  </w:t>
      </w:r>
    </w:p>
  </w:footnote>
  <w:footnote w:id="30">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sz w:val="20"/>
          <w:szCs w:val="20"/>
        </w:rPr>
        <w:tab/>
        <w:t xml:space="preserve">Marius Lazurca, </w:t>
      </w:r>
      <w:r w:rsidRPr="006B3EAB">
        <w:rPr>
          <w:bCs/>
          <w:i/>
          <w:sz w:val="20"/>
          <w:szCs w:val="20"/>
        </w:rPr>
        <w:t>Invenţia trupului</w:t>
      </w:r>
      <w:r w:rsidRPr="006B3EAB">
        <w:rPr>
          <w:sz w:val="20"/>
          <w:szCs w:val="20"/>
        </w:rPr>
        <w:t>, Ed. Anastasia, Bucureşti, f.a., p. 97.</w:t>
      </w:r>
    </w:p>
  </w:footnote>
  <w:footnote w:id="31">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sz w:val="20"/>
          <w:szCs w:val="20"/>
        </w:rPr>
        <w:tab/>
        <w:t xml:space="preserve"> </w:t>
      </w:r>
      <w:r w:rsidRPr="006B3EAB">
        <w:rPr>
          <w:bCs/>
          <w:i/>
          <w:sz w:val="20"/>
          <w:szCs w:val="20"/>
        </w:rPr>
        <w:t>Dictionnaire de Théologie Catholique</w:t>
      </w:r>
      <w:r w:rsidRPr="006B3EAB">
        <w:rPr>
          <w:sz w:val="20"/>
          <w:szCs w:val="20"/>
        </w:rPr>
        <w:t>, Paris, 1923, tome I, p. 969; Drd. Petru Semen,</w:t>
      </w:r>
      <w:r w:rsidRPr="006B3EAB">
        <w:rPr>
          <w:i/>
          <w:iCs/>
          <w:sz w:val="20"/>
          <w:szCs w:val="20"/>
        </w:rPr>
        <w:t xml:space="preserve"> </w:t>
      </w:r>
      <w:r w:rsidRPr="006B3EAB">
        <w:rPr>
          <w:iCs/>
          <w:sz w:val="20"/>
          <w:szCs w:val="20"/>
        </w:rPr>
        <w:t>„</w:t>
      </w:r>
      <w:r w:rsidRPr="006B3EAB">
        <w:rPr>
          <w:bCs/>
          <w:sz w:val="20"/>
          <w:szCs w:val="20"/>
        </w:rPr>
        <w:t xml:space="preserve">Învăţătura despre suflet în cărţile </w:t>
      </w:r>
      <w:r w:rsidRPr="006B3EAB">
        <w:rPr>
          <w:bCs/>
          <w:i/>
          <w:iCs/>
          <w:sz w:val="20"/>
          <w:szCs w:val="20"/>
        </w:rPr>
        <w:t>Vechiului Testament</w:t>
      </w:r>
      <w:r w:rsidRPr="006B3EAB">
        <w:rPr>
          <w:bCs/>
          <w:iCs/>
          <w:sz w:val="20"/>
          <w:szCs w:val="20"/>
        </w:rPr>
        <w:t>”</w:t>
      </w:r>
      <w:r w:rsidRPr="006B3EAB">
        <w:rPr>
          <w:sz w:val="20"/>
          <w:szCs w:val="20"/>
        </w:rPr>
        <w:t>, în “Studii Teologice”, nr. 9 – 10 (1977), p. 674.</w:t>
      </w:r>
    </w:p>
  </w:footnote>
  <w:footnote w:id="32">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sz w:val="20"/>
          <w:szCs w:val="20"/>
        </w:rPr>
        <w:tab/>
        <w:t xml:space="preserve">Marius Lazurca, </w:t>
      </w:r>
      <w:r w:rsidRPr="006B3EAB">
        <w:rPr>
          <w:bCs/>
          <w:i/>
          <w:sz w:val="20"/>
          <w:szCs w:val="20"/>
        </w:rPr>
        <w:t>Invenţia trupului</w:t>
      </w:r>
      <w:r w:rsidRPr="006B3EAB">
        <w:rPr>
          <w:sz w:val="20"/>
          <w:szCs w:val="20"/>
        </w:rPr>
        <w:t xml:space="preserve">, </w:t>
      </w:r>
      <w:r w:rsidRPr="006B3EAB">
        <w:rPr>
          <w:i/>
          <w:sz w:val="20"/>
          <w:szCs w:val="20"/>
        </w:rPr>
        <w:t>op.cit.,</w:t>
      </w:r>
      <w:r w:rsidRPr="006B3EAB">
        <w:rPr>
          <w:sz w:val="20"/>
          <w:szCs w:val="20"/>
        </w:rPr>
        <w:t xml:space="preserve"> p. 98.</w:t>
      </w:r>
    </w:p>
  </w:footnote>
  <w:footnote w:id="33">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Olivier Clement, </w:t>
      </w:r>
      <w:r w:rsidRPr="006B3EAB">
        <w:rPr>
          <w:bCs/>
          <w:i/>
          <w:spacing w:val="-2"/>
          <w:sz w:val="20"/>
          <w:szCs w:val="20"/>
        </w:rPr>
        <w:t>Trupul morţii şi al slavei. Scurtă introducere la o teopoetică a trupului</w:t>
      </w:r>
      <w:r w:rsidRPr="006B3EAB">
        <w:rPr>
          <w:spacing w:val="-2"/>
          <w:sz w:val="20"/>
          <w:szCs w:val="20"/>
        </w:rPr>
        <w:t>, ed. Christiana, Bucureşti, 1996, p. 8.</w:t>
      </w:r>
    </w:p>
  </w:footnote>
  <w:footnote w:id="34">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sz w:val="20"/>
          <w:szCs w:val="20"/>
        </w:rPr>
        <w:tab/>
      </w:r>
      <w:r w:rsidRPr="006B3EAB">
        <w:rPr>
          <w:i/>
          <w:iCs/>
          <w:sz w:val="20"/>
          <w:szCs w:val="20"/>
        </w:rPr>
        <w:t>Ibidem</w:t>
      </w:r>
      <w:r w:rsidRPr="006B3EAB">
        <w:rPr>
          <w:sz w:val="20"/>
          <w:szCs w:val="20"/>
        </w:rPr>
        <w:t>, p. 98, 99.</w:t>
      </w:r>
    </w:p>
  </w:footnote>
  <w:footnote w:id="35">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sz w:val="20"/>
          <w:szCs w:val="20"/>
        </w:rPr>
        <w:tab/>
      </w:r>
      <w:r w:rsidRPr="006B3EAB">
        <w:rPr>
          <w:spacing w:val="-2"/>
          <w:sz w:val="20"/>
          <w:szCs w:val="20"/>
        </w:rPr>
        <w:t>Claude Tresmontant,</w:t>
      </w:r>
      <w:r w:rsidRPr="006B3EAB">
        <w:rPr>
          <w:i/>
          <w:iCs/>
          <w:spacing w:val="-2"/>
          <w:sz w:val="20"/>
          <w:szCs w:val="20"/>
        </w:rPr>
        <w:t xml:space="preserve"> </w:t>
      </w:r>
      <w:r w:rsidRPr="006B3EAB">
        <w:rPr>
          <w:bCs/>
          <w:i/>
          <w:spacing w:val="-2"/>
          <w:sz w:val="20"/>
          <w:szCs w:val="20"/>
        </w:rPr>
        <w:t>Le problème de l’âme, op.cit., apud</w:t>
      </w:r>
      <w:r w:rsidRPr="006B3EAB">
        <w:rPr>
          <w:spacing w:val="-2"/>
          <w:sz w:val="20"/>
          <w:szCs w:val="20"/>
        </w:rPr>
        <w:t xml:space="preserve"> Constantin Iana, în “Ortodoxia”, nr. 2 (1971), p. 233.</w:t>
      </w:r>
    </w:p>
  </w:footnote>
  <w:footnote w:id="36">
    <w:p w:rsidR="00887C51" w:rsidRPr="006B3EAB" w:rsidRDefault="00887C51" w:rsidP="00887C51">
      <w:pPr>
        <w:pStyle w:val="FootnoteText"/>
        <w:ind w:left="-142" w:right="-563"/>
        <w:rPr>
          <w:i/>
          <w:sz w:val="20"/>
          <w:szCs w:val="20"/>
        </w:rPr>
      </w:pPr>
      <w:r w:rsidRPr="006B3EAB">
        <w:rPr>
          <w:rStyle w:val="FootnoteReference"/>
        </w:rPr>
        <w:footnoteRef/>
      </w:r>
      <w:r w:rsidRPr="006B3EAB">
        <w:rPr>
          <w:sz w:val="20"/>
          <w:szCs w:val="20"/>
        </w:rPr>
        <w:t xml:space="preserve"> </w:t>
      </w:r>
      <w:r w:rsidRPr="006B3EAB">
        <w:rPr>
          <w:sz w:val="20"/>
          <w:szCs w:val="20"/>
        </w:rPr>
        <w:tab/>
      </w:r>
      <w:r w:rsidRPr="006B3EAB">
        <w:rPr>
          <w:i/>
          <w:iCs/>
          <w:sz w:val="20"/>
          <w:szCs w:val="20"/>
        </w:rPr>
        <w:t>Ibid</w:t>
      </w:r>
      <w:r w:rsidRPr="006B3EAB">
        <w:rPr>
          <w:i/>
          <w:sz w:val="20"/>
          <w:szCs w:val="20"/>
        </w:rPr>
        <w:t>em</w:t>
      </w:r>
    </w:p>
  </w:footnote>
  <w:footnote w:id="37">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sz w:val="20"/>
          <w:szCs w:val="20"/>
        </w:rPr>
        <w:tab/>
      </w:r>
      <w:r w:rsidRPr="006B3EAB">
        <w:rPr>
          <w:i/>
          <w:iCs/>
          <w:sz w:val="20"/>
          <w:szCs w:val="20"/>
        </w:rPr>
        <w:t>Ibidem</w:t>
      </w:r>
      <w:r w:rsidRPr="006B3EAB">
        <w:rPr>
          <w:sz w:val="20"/>
          <w:szCs w:val="20"/>
        </w:rPr>
        <w:t>, p. 34.</w:t>
      </w:r>
    </w:p>
  </w:footnote>
  <w:footnote w:id="38">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sz w:val="20"/>
          <w:szCs w:val="20"/>
        </w:rPr>
        <w:tab/>
        <w:t xml:space="preserve">C. Tresmontant, </w:t>
      </w:r>
      <w:r w:rsidRPr="006B3EAB">
        <w:rPr>
          <w:i/>
          <w:iCs/>
          <w:sz w:val="20"/>
          <w:szCs w:val="20"/>
        </w:rPr>
        <w:t>op.cit.</w:t>
      </w:r>
      <w:r w:rsidRPr="006B3EAB">
        <w:rPr>
          <w:sz w:val="20"/>
          <w:szCs w:val="20"/>
        </w:rPr>
        <w:t xml:space="preserve">, p. 62, </w:t>
      </w:r>
      <w:r w:rsidRPr="006B3EAB">
        <w:rPr>
          <w:i/>
          <w:iCs/>
          <w:sz w:val="20"/>
          <w:szCs w:val="20"/>
        </w:rPr>
        <w:t>apud</w:t>
      </w:r>
      <w:r w:rsidRPr="006B3EAB">
        <w:rPr>
          <w:sz w:val="20"/>
          <w:szCs w:val="20"/>
        </w:rPr>
        <w:t xml:space="preserve"> C. Iana, </w:t>
      </w:r>
      <w:r w:rsidRPr="006B3EAB">
        <w:rPr>
          <w:i/>
          <w:iCs/>
          <w:sz w:val="20"/>
          <w:szCs w:val="20"/>
        </w:rPr>
        <w:t>op.cit.</w:t>
      </w:r>
      <w:r w:rsidRPr="006B3EAB">
        <w:rPr>
          <w:sz w:val="20"/>
          <w:szCs w:val="20"/>
        </w:rPr>
        <w:t>, p. 234.</w:t>
      </w:r>
    </w:p>
  </w:footnote>
  <w:footnote w:id="39">
    <w:p w:rsidR="00887C51" w:rsidRPr="006B3EAB" w:rsidRDefault="00887C51" w:rsidP="00887C51">
      <w:pPr>
        <w:pStyle w:val="FootnoteText"/>
        <w:ind w:left="-142" w:right="-563" w:firstLine="0"/>
        <w:rPr>
          <w:sz w:val="20"/>
          <w:szCs w:val="20"/>
        </w:rPr>
      </w:pPr>
      <w:r w:rsidRPr="006B3EAB">
        <w:rPr>
          <w:rStyle w:val="FootnoteReference"/>
        </w:rPr>
        <w:footnoteRef/>
      </w:r>
      <w:r w:rsidRPr="006B3EAB">
        <w:rPr>
          <w:sz w:val="20"/>
          <w:szCs w:val="20"/>
        </w:rPr>
        <w:tab/>
      </w:r>
      <w:r w:rsidRPr="006B3EAB">
        <w:rPr>
          <w:i/>
          <w:iCs/>
          <w:sz w:val="20"/>
          <w:szCs w:val="20"/>
        </w:rPr>
        <w:t>Ibid</w:t>
      </w:r>
      <w:r w:rsidRPr="006B3EAB">
        <w:rPr>
          <w:i/>
          <w:sz w:val="20"/>
          <w:szCs w:val="20"/>
        </w:rPr>
        <w:t>em,</w:t>
      </w:r>
      <w:r w:rsidRPr="006B3EAB">
        <w:rPr>
          <w:sz w:val="20"/>
          <w:szCs w:val="20"/>
        </w:rPr>
        <w:t xml:space="preserve"> p. 206; p. 234.</w:t>
      </w:r>
    </w:p>
  </w:footnote>
  <w:footnote w:id="40">
    <w:p w:rsidR="00887C51" w:rsidRPr="006B3EAB" w:rsidRDefault="00887C51" w:rsidP="00887C51">
      <w:pPr>
        <w:pStyle w:val="Default"/>
        <w:ind w:left="-142" w:right="-563"/>
        <w:rPr>
          <w:sz w:val="20"/>
          <w:szCs w:val="20"/>
        </w:rPr>
      </w:pPr>
      <w:r w:rsidRPr="006B3EAB">
        <w:rPr>
          <w:rStyle w:val="FootnoteReference"/>
        </w:rPr>
        <w:footnoteRef/>
      </w:r>
      <w:r w:rsidRPr="006B3EAB">
        <w:rPr>
          <w:sz w:val="20"/>
          <w:szCs w:val="20"/>
        </w:rPr>
        <w:t>Susan Ashbrook Harvey, “</w:t>
      </w:r>
      <w:r w:rsidRPr="006B3EAB">
        <w:rPr>
          <w:bCs/>
          <w:sz w:val="20"/>
          <w:szCs w:val="20"/>
        </w:rPr>
        <w:t xml:space="preserve">Embodiment in Time and Eternity: A Syriac Perspective”, </w:t>
      </w:r>
      <w:r w:rsidRPr="006B3EAB">
        <w:rPr>
          <w:i/>
          <w:iCs/>
          <w:sz w:val="20"/>
          <w:szCs w:val="20"/>
        </w:rPr>
        <w:t>St. Vladimir’s Theological Quarterly</w:t>
      </w:r>
      <w:r w:rsidRPr="006B3EAB">
        <w:rPr>
          <w:sz w:val="20"/>
          <w:szCs w:val="20"/>
        </w:rPr>
        <w:t xml:space="preserve"> 1999; 43 (2),p. 109   </w:t>
      </w:r>
    </w:p>
  </w:footnote>
  <w:footnote w:id="41">
    <w:p w:rsidR="00887C51" w:rsidRPr="006B3EAB" w:rsidRDefault="00887C51" w:rsidP="00887C51">
      <w:pPr>
        <w:pStyle w:val="FootnoteText"/>
        <w:ind w:left="-142" w:right="-563" w:firstLine="0"/>
        <w:rPr>
          <w:sz w:val="20"/>
          <w:szCs w:val="20"/>
        </w:rPr>
      </w:pPr>
      <w:r w:rsidRPr="006B3EAB">
        <w:rPr>
          <w:rStyle w:val="FootnoteReference"/>
        </w:rPr>
        <w:footnoteRef/>
      </w:r>
      <w:r w:rsidRPr="006B3EAB">
        <w:rPr>
          <w:sz w:val="20"/>
          <w:szCs w:val="20"/>
        </w:rPr>
        <w:t xml:space="preserve"> </w:t>
      </w:r>
      <w:r w:rsidRPr="006B3EAB">
        <w:rPr>
          <w:color w:val="0070C0"/>
          <w:sz w:val="20"/>
          <w:szCs w:val="20"/>
        </w:rPr>
        <w:t xml:space="preserve"> </w:t>
      </w:r>
      <w:r w:rsidRPr="006B3EAB">
        <w:rPr>
          <w:i/>
          <w:sz w:val="20"/>
          <w:szCs w:val="20"/>
        </w:rPr>
        <w:t>Ibidem</w:t>
      </w:r>
      <w:r w:rsidRPr="006B3EAB">
        <w:rPr>
          <w:sz w:val="20"/>
          <w:szCs w:val="20"/>
        </w:rPr>
        <w:t>,p.111</w:t>
      </w:r>
    </w:p>
  </w:footnote>
  <w:footnote w:id="42">
    <w:p w:rsidR="00887C51" w:rsidRPr="006B3EAB" w:rsidRDefault="00887C51" w:rsidP="00887C51">
      <w:pPr>
        <w:pStyle w:val="FootnoteText"/>
        <w:ind w:left="-142" w:right="-563" w:firstLine="0"/>
        <w:rPr>
          <w:sz w:val="20"/>
          <w:szCs w:val="20"/>
        </w:rPr>
      </w:pPr>
      <w:r w:rsidRPr="006B3EAB">
        <w:rPr>
          <w:rStyle w:val="FootnoteReference"/>
        </w:rPr>
        <w:footnoteRef/>
      </w:r>
      <w:r w:rsidRPr="006B3EAB">
        <w:rPr>
          <w:sz w:val="20"/>
          <w:szCs w:val="20"/>
        </w:rPr>
        <w:t xml:space="preserve"> Susan Ashbrook Harvey,</w:t>
      </w:r>
      <w:r w:rsidRPr="006B3EAB">
        <w:rPr>
          <w:i/>
          <w:sz w:val="20"/>
          <w:szCs w:val="20"/>
        </w:rPr>
        <w:t xml:space="preserve"> op.cit.</w:t>
      </w:r>
      <w:r w:rsidRPr="006B3EAB">
        <w:rPr>
          <w:sz w:val="20"/>
          <w:szCs w:val="20"/>
        </w:rPr>
        <w:t>, p.129</w:t>
      </w:r>
    </w:p>
  </w:footnote>
  <w:footnote w:id="43">
    <w:p w:rsidR="00887C51" w:rsidRPr="006B3EAB" w:rsidRDefault="00887C51" w:rsidP="00887C51">
      <w:pPr>
        <w:pStyle w:val="FootnoteText"/>
        <w:ind w:left="-142" w:right="-563"/>
        <w:rPr>
          <w:sz w:val="20"/>
          <w:szCs w:val="20"/>
        </w:rPr>
      </w:pPr>
      <w:r w:rsidRPr="006B3EAB">
        <w:rPr>
          <w:sz w:val="20"/>
          <w:szCs w:val="20"/>
        </w:rPr>
        <w:t xml:space="preserve">      </w:t>
      </w:r>
      <w:r w:rsidRPr="006B3EAB">
        <w:rPr>
          <w:rStyle w:val="FootnoteReference"/>
        </w:rPr>
        <w:footnoteRef/>
      </w:r>
      <w:r w:rsidRPr="006B3EAB">
        <w:rPr>
          <w:sz w:val="20"/>
          <w:szCs w:val="20"/>
        </w:rPr>
        <w:t xml:space="preserve"> Sebastian Brock, </w:t>
      </w:r>
      <w:r w:rsidRPr="006B3EAB">
        <w:rPr>
          <w:i/>
          <w:sz w:val="20"/>
          <w:szCs w:val="20"/>
        </w:rPr>
        <w:t>Efrem Sirul</w:t>
      </w:r>
      <w:r w:rsidRPr="006B3EAB">
        <w:rPr>
          <w:sz w:val="20"/>
          <w:szCs w:val="20"/>
        </w:rPr>
        <w:t xml:space="preserve">, Deisis, Sibiu, 1998,  &amp; „Valoarea trupului”, p.59-60:  </w:t>
      </w:r>
    </w:p>
  </w:footnote>
  <w:footnote w:id="44">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Preot dr.Vasile Răducă, </w:t>
      </w:r>
      <w:r w:rsidRPr="006B3EAB">
        <w:rPr>
          <w:i/>
          <w:sz w:val="20"/>
          <w:szCs w:val="20"/>
        </w:rPr>
        <w:t>Antropologia Sfântului Grigore de Nyssa. Căderea în păcat şi restaurarea omului</w:t>
      </w:r>
      <w:r w:rsidRPr="006B3EAB">
        <w:rPr>
          <w:sz w:val="20"/>
          <w:szCs w:val="20"/>
        </w:rPr>
        <w:t>, Bucureşti, EIBMBOR,1996, p.89</w:t>
      </w:r>
    </w:p>
  </w:footnote>
  <w:footnote w:id="45">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Sfântul Grigorie de Nyssa, </w:t>
      </w:r>
      <w:r w:rsidRPr="006B3EAB">
        <w:rPr>
          <w:i/>
          <w:sz w:val="20"/>
          <w:szCs w:val="20"/>
        </w:rPr>
        <w:t xml:space="preserve">De hominis opificio </w:t>
      </w:r>
      <w:r w:rsidRPr="006B3EAB">
        <w:rPr>
          <w:sz w:val="20"/>
          <w:szCs w:val="20"/>
        </w:rPr>
        <w:t xml:space="preserve">XII,160, SC,129, </w:t>
      </w:r>
      <w:r w:rsidRPr="006B3EAB">
        <w:rPr>
          <w:i/>
          <w:sz w:val="20"/>
          <w:szCs w:val="20"/>
        </w:rPr>
        <w:t>apud</w:t>
      </w:r>
      <w:r w:rsidRPr="006B3EAB">
        <w:rPr>
          <w:sz w:val="20"/>
          <w:szCs w:val="20"/>
        </w:rPr>
        <w:t xml:space="preserve">  Pr.V.Răducă, op.cit., p.89 </w:t>
      </w:r>
    </w:p>
  </w:footnote>
  <w:footnote w:id="46">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Preot dr.Vasile Răducă, op.cit., p.93</w:t>
      </w:r>
    </w:p>
  </w:footnote>
  <w:footnote w:id="47">
    <w:p w:rsidR="00887C51" w:rsidRPr="006B3EAB" w:rsidRDefault="00887C51" w:rsidP="00887C51">
      <w:pPr>
        <w:autoSpaceDE w:val="0"/>
        <w:autoSpaceDN w:val="0"/>
        <w:adjustRightInd w:val="0"/>
        <w:spacing w:after="0" w:line="240" w:lineRule="auto"/>
        <w:ind w:left="-142" w:right="-563"/>
        <w:jc w:val="both"/>
        <w:rPr>
          <w:rFonts w:ascii="Times New Roman" w:hAnsi="Times New Roman"/>
          <w:sz w:val="20"/>
          <w:szCs w:val="20"/>
          <w:lang w:val="ro-RO"/>
        </w:rPr>
      </w:pPr>
      <w:r w:rsidRPr="006B3EAB">
        <w:rPr>
          <w:rStyle w:val="FootnoteReference"/>
          <w:rFonts w:ascii="Times New Roman" w:hAnsi="Times New Roman"/>
        </w:rPr>
        <w:footnoteRef/>
      </w:r>
      <w:r w:rsidRPr="006B3EAB">
        <w:rPr>
          <w:rFonts w:ascii="Times New Roman" w:hAnsi="Times New Roman"/>
          <w:sz w:val="20"/>
          <w:szCs w:val="20"/>
        </w:rPr>
        <w:t xml:space="preserve"> </w:t>
      </w:r>
      <w:r w:rsidRPr="006B3EAB">
        <w:rPr>
          <w:rFonts w:ascii="Times New Roman" w:hAnsi="Times New Roman"/>
          <w:iCs/>
          <w:sz w:val="20"/>
          <w:szCs w:val="20"/>
        </w:rPr>
        <w:t>Kallistos of Diokleia</w:t>
      </w:r>
      <w:r w:rsidRPr="006B3EAB">
        <w:rPr>
          <w:rFonts w:ascii="Times New Roman" w:hAnsi="Times New Roman"/>
          <w:i/>
          <w:iCs/>
          <w:sz w:val="20"/>
          <w:szCs w:val="20"/>
        </w:rPr>
        <w:t xml:space="preserve"> </w:t>
      </w:r>
      <w:r w:rsidRPr="006B3EAB">
        <w:rPr>
          <w:rFonts w:ascii="Times New Roman" w:hAnsi="Times New Roman"/>
          <w:iCs/>
          <w:sz w:val="20"/>
          <w:szCs w:val="20"/>
        </w:rPr>
        <w:t>“</w:t>
      </w:r>
      <w:r w:rsidRPr="006B3EAB">
        <w:rPr>
          <w:rFonts w:ascii="Times New Roman" w:hAnsi="Times New Roman"/>
          <w:sz w:val="20"/>
          <w:szCs w:val="20"/>
        </w:rPr>
        <w:t>Praying with the body: the hesychast method and non-Christian parallels”, in Sobornost, incorporating Eastern Churches Review. 1992, v. 14(2), p.6.</w:t>
      </w:r>
    </w:p>
  </w:footnote>
  <w:footnote w:id="48">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Kallistos Ware, “The unity of the human person according to the Greek Fathers”, in: </w:t>
      </w:r>
      <w:r w:rsidRPr="006B3EAB">
        <w:rPr>
          <w:i/>
          <w:sz w:val="20"/>
          <w:szCs w:val="20"/>
        </w:rPr>
        <w:t>Persons and personality, A contemporary inquiry</w:t>
      </w:r>
      <w:r w:rsidRPr="006B3EAB">
        <w:rPr>
          <w:sz w:val="20"/>
          <w:szCs w:val="20"/>
        </w:rPr>
        <w:t>, edited by  Arthur Peacocke and Grant Gillett, Ian Ramsey Centre Publication no. 1, Basil Blackwell, Oxford,1987, p.198</w:t>
      </w:r>
    </w:p>
  </w:footnote>
  <w:footnote w:id="49">
    <w:p w:rsidR="00887C51" w:rsidRPr="006B3EAB" w:rsidRDefault="00887C51" w:rsidP="00887C51">
      <w:pPr>
        <w:pStyle w:val="Heading3"/>
        <w:spacing w:before="0" w:after="0"/>
        <w:ind w:left="-142" w:right="-563"/>
        <w:rPr>
          <w:rFonts w:ascii="Times New Roman" w:hAnsi="Times New Roman" w:cs="Times New Roman"/>
          <w:b w:val="0"/>
          <w:lang w:val="en-US"/>
        </w:rPr>
      </w:pPr>
      <w:r w:rsidRPr="006B3EAB">
        <w:rPr>
          <w:rStyle w:val="FootnoteReference"/>
          <w:rFonts w:ascii="Times New Roman" w:hAnsi="Times New Roman" w:cs="Times New Roman"/>
          <w:b w:val="0"/>
        </w:rPr>
        <w:footnoteRef/>
      </w:r>
      <w:r w:rsidRPr="006B3EAB">
        <w:rPr>
          <w:rFonts w:ascii="Times New Roman" w:hAnsi="Times New Roman" w:cs="Times New Roman"/>
          <w:b w:val="0"/>
        </w:rPr>
        <w:t xml:space="preserve"> Christos Yannaras, </w:t>
      </w:r>
      <w:r w:rsidRPr="006B3EAB">
        <w:rPr>
          <w:rFonts w:ascii="Times New Roman" w:hAnsi="Times New Roman" w:cs="Times New Roman"/>
          <w:b w:val="0"/>
          <w:i/>
        </w:rPr>
        <w:t>The Freedom of Morality</w:t>
      </w:r>
      <w:r w:rsidRPr="006B3EAB">
        <w:rPr>
          <w:rFonts w:ascii="Times New Roman" w:hAnsi="Times New Roman" w:cs="Times New Roman"/>
          <w:b w:val="0"/>
        </w:rPr>
        <w:t xml:space="preserve">, Crestwood, St Vladimir’s Seminary Press, 1984, p.99, </w:t>
      </w:r>
      <w:r w:rsidRPr="006B3EAB">
        <w:rPr>
          <w:rFonts w:ascii="Times New Roman" w:hAnsi="Times New Roman" w:cs="Times New Roman"/>
          <w:b w:val="0"/>
          <w:i/>
        </w:rPr>
        <w:t>apud</w:t>
      </w:r>
      <w:r w:rsidRPr="006B3EAB">
        <w:rPr>
          <w:rFonts w:ascii="Times New Roman" w:hAnsi="Times New Roman" w:cs="Times New Roman"/>
          <w:b w:val="0"/>
        </w:rPr>
        <w:t xml:space="preserve"> Elisabeth Theokritoff (Cambridge), “</w:t>
      </w:r>
      <w:r w:rsidRPr="006B3EAB">
        <w:rPr>
          <w:rFonts w:ascii="Times New Roman" w:hAnsi="Times New Roman" w:cs="Times New Roman"/>
          <w:b w:val="0"/>
          <w:lang w:val="en-US"/>
        </w:rPr>
        <w:t xml:space="preserve">Cosmic Priesthood and the Human Animal Speaking of Man and the Natural World in a Scientific Age”, </w:t>
      </w:r>
      <w:r w:rsidRPr="006B3EAB">
        <w:rPr>
          <w:rFonts w:ascii="Times New Roman" w:hAnsi="Times New Roman" w:cs="Times New Roman"/>
          <w:b w:val="0"/>
        </w:rPr>
        <w:t xml:space="preserve">in the vol.: </w:t>
      </w:r>
      <w:r w:rsidRPr="006B3EAB">
        <w:rPr>
          <w:rFonts w:ascii="Times New Roman" w:hAnsi="Times New Roman" w:cs="Times New Roman"/>
          <w:b w:val="0"/>
          <w:i/>
          <w:lang w:val="en-US"/>
        </w:rPr>
        <w:t>Thinking Modernity. Towards a Reconfiguration of the Relationship between Orthodox Theology and Modern Culture</w:t>
      </w:r>
      <w:r w:rsidRPr="006B3EAB">
        <w:rPr>
          <w:rFonts w:ascii="Times New Roman" w:hAnsi="Times New Roman" w:cs="Times New Roman"/>
          <w:b w:val="0"/>
          <w:lang w:val="en-US"/>
        </w:rPr>
        <w:t xml:space="preserve">, Balamand Theological Coferences 1, </w:t>
      </w:r>
      <w:r w:rsidRPr="006B3EAB">
        <w:rPr>
          <w:rFonts w:ascii="Times New Roman" w:hAnsi="Times New Roman" w:cs="Times New Roman"/>
          <w:b w:val="0"/>
          <w:i/>
          <w:lang w:val="en-US"/>
        </w:rPr>
        <w:t>op.cit.</w:t>
      </w:r>
      <w:r w:rsidRPr="006B3EAB">
        <w:rPr>
          <w:rFonts w:ascii="Times New Roman" w:hAnsi="Times New Roman" w:cs="Times New Roman"/>
          <w:b w:val="0"/>
          <w:lang w:val="en-US"/>
        </w:rPr>
        <w:t>, p. 57</w:t>
      </w:r>
    </w:p>
    <w:p w:rsidR="00887C51" w:rsidRPr="006B3EAB" w:rsidRDefault="00887C51" w:rsidP="00887C51">
      <w:pPr>
        <w:pStyle w:val="FootnoteText"/>
        <w:ind w:left="-142" w:right="-563"/>
        <w:rPr>
          <w:sz w:val="20"/>
          <w:szCs w:val="20"/>
        </w:rPr>
      </w:pPr>
    </w:p>
  </w:footnote>
  <w:footnote w:id="50">
    <w:p w:rsidR="00887C51" w:rsidRPr="006B3EAB" w:rsidRDefault="00887C51" w:rsidP="00887C51">
      <w:pPr>
        <w:pStyle w:val="FootnoteText"/>
        <w:ind w:left="-142" w:right="-563"/>
        <w:jc w:val="left"/>
        <w:rPr>
          <w:sz w:val="20"/>
          <w:szCs w:val="20"/>
        </w:rPr>
      </w:pPr>
      <w:r w:rsidRPr="006B3EAB">
        <w:rPr>
          <w:rStyle w:val="FootnoteReference"/>
        </w:rPr>
        <w:footnoteRef/>
      </w:r>
      <w:r w:rsidRPr="006B3EAB">
        <w:rPr>
          <w:sz w:val="20"/>
          <w:szCs w:val="20"/>
        </w:rPr>
        <w:t xml:space="preserve"> Sfântul Nicolae Velimirovici, Episcopul Ohridei și Jicei, </w:t>
      </w:r>
      <w:r w:rsidRPr="006B3EAB">
        <w:rPr>
          <w:i/>
          <w:sz w:val="20"/>
          <w:szCs w:val="20"/>
        </w:rPr>
        <w:t>Rugăciuni pe malul lacului,</w:t>
      </w:r>
      <w:r w:rsidRPr="006B3EAB">
        <w:rPr>
          <w:sz w:val="20"/>
          <w:szCs w:val="20"/>
        </w:rPr>
        <w:t xml:space="preserve"> traducere din limba sârbă de Ionuț și Sladjana Gurgu, Editura Predania, f.a.,p.195</w:t>
      </w:r>
    </w:p>
  </w:footnote>
  <w:footnote w:id="51">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Pr. Prof. Dr. Dumitru Stăniloae, </w:t>
      </w:r>
      <w:r w:rsidRPr="006B3EAB">
        <w:rPr>
          <w:bCs/>
          <w:i/>
          <w:sz w:val="20"/>
          <w:szCs w:val="20"/>
        </w:rPr>
        <w:t>Chipul nemuritor al lui Dumnezeu</w:t>
      </w:r>
      <w:r w:rsidRPr="006B3EAB">
        <w:rPr>
          <w:sz w:val="20"/>
          <w:szCs w:val="20"/>
        </w:rPr>
        <w:t>, Ed. Mitropoliei Olteniei, Craiova, 1987, p. 164.</w:t>
      </w:r>
    </w:p>
  </w:footnote>
  <w:footnote w:id="52">
    <w:p w:rsidR="00887C51" w:rsidRPr="006B3EAB" w:rsidRDefault="00887C51" w:rsidP="00887C51">
      <w:pPr>
        <w:pStyle w:val="FootnoteText"/>
        <w:ind w:left="-142" w:right="-563"/>
        <w:rPr>
          <w:sz w:val="20"/>
          <w:szCs w:val="20"/>
        </w:rPr>
      </w:pPr>
      <w:r w:rsidRPr="006B3EAB">
        <w:rPr>
          <w:rStyle w:val="FootnoteReference"/>
        </w:rPr>
        <w:footnoteRef/>
      </w:r>
      <w:r w:rsidRPr="006B3EAB">
        <w:rPr>
          <w:i/>
          <w:iCs/>
          <w:sz w:val="20"/>
          <w:szCs w:val="20"/>
        </w:rPr>
        <w:t xml:space="preserve"> </w:t>
      </w:r>
      <w:r w:rsidRPr="006B3EAB">
        <w:rPr>
          <w:i/>
          <w:iCs/>
          <w:sz w:val="20"/>
          <w:szCs w:val="20"/>
        </w:rPr>
        <w:tab/>
      </w:r>
      <w:r w:rsidRPr="006B3EAB">
        <w:rPr>
          <w:iCs/>
          <w:sz w:val="20"/>
          <w:szCs w:val="20"/>
        </w:rPr>
        <w:t xml:space="preserve">Pr.prof Dumitru Stăniloae, </w:t>
      </w:r>
      <w:r w:rsidRPr="006B3EAB">
        <w:rPr>
          <w:i/>
          <w:iCs/>
          <w:sz w:val="20"/>
          <w:szCs w:val="20"/>
        </w:rPr>
        <w:t>Teologia Dogmatică Ortodoxă</w:t>
      </w:r>
      <w:r w:rsidRPr="006B3EAB">
        <w:rPr>
          <w:iCs/>
          <w:sz w:val="20"/>
          <w:szCs w:val="20"/>
        </w:rPr>
        <w:t xml:space="preserve">, EIBMBOR, București, 1978, vol.I, </w:t>
      </w:r>
      <w:r w:rsidRPr="006B3EAB">
        <w:rPr>
          <w:sz w:val="20"/>
          <w:szCs w:val="20"/>
        </w:rPr>
        <w:t xml:space="preserve"> p. 375.</w:t>
      </w:r>
    </w:p>
  </w:footnote>
  <w:footnote w:id="53">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sz w:val="20"/>
          <w:szCs w:val="20"/>
        </w:rPr>
        <w:tab/>
      </w:r>
      <w:r w:rsidRPr="006B3EAB">
        <w:rPr>
          <w:i/>
          <w:iCs/>
          <w:sz w:val="20"/>
          <w:szCs w:val="20"/>
        </w:rPr>
        <w:t>Ibidem</w:t>
      </w:r>
      <w:r w:rsidRPr="006B3EAB">
        <w:rPr>
          <w:sz w:val="20"/>
          <w:szCs w:val="20"/>
        </w:rPr>
        <w:t>, p. 367.</w:t>
      </w:r>
    </w:p>
  </w:footnote>
  <w:footnote w:id="54">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sz w:val="20"/>
          <w:szCs w:val="20"/>
        </w:rPr>
        <w:tab/>
        <w:t xml:space="preserve">Pr.Prof Dumitru Stăniloae, </w:t>
      </w:r>
      <w:r w:rsidRPr="006B3EAB">
        <w:rPr>
          <w:i/>
          <w:sz w:val="20"/>
          <w:szCs w:val="20"/>
        </w:rPr>
        <w:t xml:space="preserve"> </w:t>
      </w:r>
      <w:r w:rsidRPr="006B3EAB">
        <w:rPr>
          <w:bCs/>
          <w:i/>
          <w:sz w:val="20"/>
          <w:szCs w:val="20"/>
        </w:rPr>
        <w:t>Chipul</w:t>
      </w:r>
      <w:r w:rsidRPr="006B3EAB">
        <w:rPr>
          <w:bCs/>
          <w:sz w:val="20"/>
          <w:szCs w:val="20"/>
        </w:rPr>
        <w:t xml:space="preserve"> (…</w:t>
      </w:r>
      <w:r w:rsidRPr="006B3EAB">
        <w:rPr>
          <w:bCs/>
          <w:i/>
          <w:sz w:val="20"/>
          <w:szCs w:val="20"/>
        </w:rPr>
        <w:t>)</w:t>
      </w:r>
      <w:r w:rsidRPr="006B3EAB">
        <w:rPr>
          <w:sz w:val="20"/>
          <w:szCs w:val="20"/>
        </w:rPr>
        <w:t xml:space="preserve">, </w:t>
      </w:r>
      <w:r w:rsidRPr="006B3EAB">
        <w:rPr>
          <w:i/>
          <w:iCs/>
          <w:sz w:val="20"/>
          <w:szCs w:val="20"/>
        </w:rPr>
        <w:t>op.cit.</w:t>
      </w:r>
      <w:r w:rsidRPr="006B3EAB">
        <w:rPr>
          <w:sz w:val="20"/>
          <w:szCs w:val="20"/>
        </w:rPr>
        <w:t>, p. 150.</w:t>
      </w:r>
    </w:p>
  </w:footnote>
  <w:footnote w:id="55">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sz w:val="20"/>
          <w:szCs w:val="20"/>
        </w:rPr>
        <w:tab/>
      </w:r>
      <w:r w:rsidRPr="006B3EAB">
        <w:rPr>
          <w:i/>
          <w:iCs/>
          <w:sz w:val="20"/>
          <w:szCs w:val="20"/>
        </w:rPr>
        <w:t>Ibidem</w:t>
      </w:r>
      <w:r w:rsidRPr="006B3EAB">
        <w:rPr>
          <w:sz w:val="20"/>
          <w:szCs w:val="20"/>
        </w:rPr>
        <w:t>, p. 26.</w:t>
      </w:r>
    </w:p>
  </w:footnote>
  <w:footnote w:id="56">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sz w:val="20"/>
          <w:szCs w:val="20"/>
        </w:rPr>
        <w:tab/>
      </w:r>
      <w:r w:rsidRPr="006B3EAB">
        <w:rPr>
          <w:i/>
          <w:iCs/>
          <w:sz w:val="20"/>
          <w:szCs w:val="20"/>
        </w:rPr>
        <w:t>Ibidem</w:t>
      </w:r>
      <w:r w:rsidRPr="006B3EAB">
        <w:rPr>
          <w:sz w:val="20"/>
          <w:szCs w:val="20"/>
        </w:rPr>
        <w:t>, p. 151.</w:t>
      </w:r>
    </w:p>
  </w:footnote>
  <w:footnote w:id="57">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sz w:val="20"/>
          <w:szCs w:val="20"/>
        </w:rPr>
        <w:tab/>
      </w:r>
      <w:r w:rsidRPr="006B3EAB">
        <w:rPr>
          <w:i/>
          <w:sz w:val="20"/>
          <w:szCs w:val="20"/>
        </w:rPr>
        <w:t>Ibidem</w:t>
      </w:r>
      <w:r w:rsidRPr="006B3EAB">
        <w:rPr>
          <w:sz w:val="20"/>
          <w:szCs w:val="20"/>
        </w:rPr>
        <w:t>, p. 27.</w:t>
      </w:r>
    </w:p>
  </w:footnote>
  <w:footnote w:id="58">
    <w:p w:rsidR="00887C51" w:rsidRPr="006B3EAB" w:rsidRDefault="00887C51" w:rsidP="00887C51">
      <w:pPr>
        <w:pStyle w:val="FootnoteText"/>
        <w:ind w:left="-142" w:right="-563"/>
        <w:rPr>
          <w:sz w:val="20"/>
          <w:szCs w:val="20"/>
        </w:rPr>
      </w:pPr>
      <w:r w:rsidRPr="006B3EAB">
        <w:rPr>
          <w:rStyle w:val="FootnoteCharacters"/>
          <w:sz w:val="20"/>
          <w:szCs w:val="20"/>
        </w:rPr>
        <w:t>29</w:t>
      </w:r>
      <w:r w:rsidRPr="006B3EAB">
        <w:rPr>
          <w:sz w:val="20"/>
          <w:szCs w:val="20"/>
        </w:rPr>
        <w:tab/>
        <w:t xml:space="preserve"> Pr.Prof.Dumitru Stăniloae, </w:t>
      </w:r>
      <w:r w:rsidRPr="006B3EAB">
        <w:rPr>
          <w:i/>
          <w:sz w:val="20"/>
          <w:szCs w:val="20"/>
        </w:rPr>
        <w:t>Iisus Hristos, Lumina lumii şi îndumnezeitorul omului,</w:t>
      </w:r>
      <w:r w:rsidRPr="006B3EAB">
        <w:rPr>
          <w:sz w:val="20"/>
          <w:szCs w:val="20"/>
        </w:rPr>
        <w:t xml:space="preserve"> Bucureşti, 1993, p.201</w:t>
      </w:r>
    </w:p>
  </w:footnote>
  <w:footnote w:id="59">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sz w:val="20"/>
          <w:szCs w:val="20"/>
        </w:rPr>
        <w:tab/>
      </w:r>
      <w:r w:rsidRPr="006B3EAB">
        <w:rPr>
          <w:i/>
          <w:iCs/>
          <w:sz w:val="20"/>
          <w:szCs w:val="20"/>
        </w:rPr>
        <w:t>Ibidem</w:t>
      </w:r>
      <w:r w:rsidRPr="006B3EAB">
        <w:rPr>
          <w:sz w:val="20"/>
          <w:szCs w:val="20"/>
        </w:rPr>
        <w:t>, p. 95.</w:t>
      </w:r>
    </w:p>
  </w:footnote>
  <w:footnote w:id="60">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sz w:val="20"/>
          <w:szCs w:val="20"/>
        </w:rPr>
        <w:tab/>
      </w:r>
      <w:r w:rsidRPr="006B3EAB">
        <w:rPr>
          <w:i/>
          <w:iCs/>
          <w:sz w:val="20"/>
          <w:szCs w:val="20"/>
        </w:rPr>
        <w:t>Ibid</w:t>
      </w:r>
      <w:r w:rsidRPr="006B3EAB">
        <w:rPr>
          <w:i/>
          <w:sz w:val="20"/>
          <w:szCs w:val="20"/>
        </w:rPr>
        <w:t>em</w:t>
      </w:r>
      <w:r w:rsidRPr="006B3EAB">
        <w:rPr>
          <w:sz w:val="20"/>
          <w:szCs w:val="20"/>
        </w:rPr>
        <w:t>, p. 186.</w:t>
      </w:r>
    </w:p>
  </w:footnote>
  <w:footnote w:id="61">
    <w:p w:rsidR="00887C51" w:rsidRPr="006B3EAB" w:rsidRDefault="00887C51" w:rsidP="00887C51">
      <w:pPr>
        <w:spacing w:after="0" w:line="240" w:lineRule="auto"/>
        <w:ind w:left="-142" w:right="-563"/>
        <w:jc w:val="both"/>
        <w:rPr>
          <w:rFonts w:ascii="Times New Roman" w:hAnsi="Times New Roman"/>
          <w:i/>
          <w:iCs/>
          <w:color w:val="222222"/>
          <w:sz w:val="20"/>
          <w:szCs w:val="20"/>
          <w:shd w:val="clear" w:color="auto" w:fill="FFFFFF"/>
          <w:lang w:val="ro-RO"/>
        </w:rPr>
      </w:pPr>
      <w:r w:rsidRPr="006B3EAB">
        <w:rPr>
          <w:rStyle w:val="FootnoteReference"/>
          <w:rFonts w:ascii="Times New Roman" w:hAnsi="Times New Roman"/>
        </w:rPr>
        <w:footnoteRef/>
      </w:r>
      <w:r w:rsidRPr="006B3EAB">
        <w:rPr>
          <w:rFonts w:ascii="Times New Roman" w:hAnsi="Times New Roman"/>
          <w:sz w:val="20"/>
          <w:szCs w:val="20"/>
          <w:lang w:val="ro-RO"/>
        </w:rPr>
        <w:t xml:space="preserve"> Cristina Gavriluţă and Mihaela Frunză, </w:t>
      </w:r>
      <w:r w:rsidRPr="006B3EAB">
        <w:rPr>
          <w:rFonts w:ascii="Times New Roman" w:hAnsi="Times New Roman"/>
          <w:i/>
          <w:iCs/>
          <w:color w:val="222222"/>
          <w:sz w:val="20"/>
          <w:szCs w:val="20"/>
          <w:shd w:val="clear" w:color="auto" w:fill="FFFFFF"/>
          <w:lang w:val="ro-RO"/>
        </w:rPr>
        <w:t>Four anthropological and religious arguments in favour of the organ donation</w:t>
      </w:r>
      <w:r w:rsidRPr="006B3EAB">
        <w:rPr>
          <w:rFonts w:ascii="Times New Roman" w:hAnsi="Times New Roman"/>
          <w:sz w:val="20"/>
          <w:szCs w:val="20"/>
          <w:lang w:val="ro-RO"/>
        </w:rPr>
        <w:t xml:space="preserve"> în </w:t>
      </w:r>
      <w:r w:rsidRPr="006B3EAB">
        <w:rPr>
          <w:rFonts w:ascii="Times New Roman" w:hAnsi="Times New Roman"/>
          <w:bCs/>
          <w:sz w:val="20"/>
          <w:szCs w:val="20"/>
          <w:lang w:val="ro-RO"/>
        </w:rPr>
        <w:t>Europ</w:t>
      </w:r>
      <w:r w:rsidRPr="006B3EAB">
        <w:rPr>
          <w:rFonts w:ascii="Times New Roman" w:hAnsi="Times New Roman"/>
          <w:bCs/>
          <w:sz w:val="20"/>
          <w:szCs w:val="20"/>
        </w:rPr>
        <w:t>ean Journal of Science and Theology</w:t>
      </w:r>
      <w:r w:rsidRPr="006B3EAB">
        <w:rPr>
          <w:rFonts w:ascii="Times New Roman" w:hAnsi="Times New Roman"/>
          <w:sz w:val="20"/>
          <w:szCs w:val="20"/>
        </w:rPr>
        <w:t xml:space="preserve">, September 2012, Vol.8, No.3, p.51. </w:t>
      </w:r>
    </w:p>
  </w:footnote>
  <w:footnote w:id="62">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sz w:val="20"/>
          <w:szCs w:val="20"/>
        </w:rPr>
        <w:tab/>
      </w:r>
      <w:r w:rsidRPr="006B3EAB">
        <w:rPr>
          <w:i/>
          <w:iCs/>
          <w:sz w:val="20"/>
          <w:szCs w:val="20"/>
        </w:rPr>
        <w:t>Ibidem</w:t>
      </w:r>
      <w:r w:rsidRPr="006B3EAB">
        <w:rPr>
          <w:sz w:val="20"/>
          <w:szCs w:val="20"/>
        </w:rPr>
        <w:t>, p. 26 – 27.</w:t>
      </w:r>
    </w:p>
  </w:footnote>
  <w:footnote w:id="63">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i/>
          <w:iCs/>
          <w:sz w:val="20"/>
          <w:szCs w:val="20"/>
        </w:rPr>
        <w:tab/>
      </w:r>
      <w:r w:rsidRPr="006B3EAB">
        <w:rPr>
          <w:iCs/>
          <w:sz w:val="20"/>
          <w:szCs w:val="20"/>
        </w:rPr>
        <w:t xml:space="preserve">Pr.prof Dumitru Stăniloae, </w:t>
      </w:r>
      <w:r w:rsidRPr="006B3EAB">
        <w:rPr>
          <w:i/>
          <w:iCs/>
          <w:sz w:val="20"/>
          <w:szCs w:val="20"/>
        </w:rPr>
        <w:t>Teologia Dogmatică Ortodoxă</w:t>
      </w:r>
      <w:r w:rsidRPr="006B3EAB">
        <w:rPr>
          <w:iCs/>
          <w:sz w:val="20"/>
          <w:szCs w:val="20"/>
        </w:rPr>
        <w:t xml:space="preserve">, EIBMBOR, București, </w:t>
      </w:r>
      <w:r w:rsidRPr="006B3EAB">
        <w:rPr>
          <w:sz w:val="20"/>
          <w:szCs w:val="20"/>
        </w:rPr>
        <w:t>vol.2,1997, p.138</w:t>
      </w:r>
    </w:p>
  </w:footnote>
  <w:footnote w:id="64">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sz w:val="20"/>
          <w:szCs w:val="20"/>
        </w:rPr>
        <w:tab/>
      </w:r>
      <w:r w:rsidRPr="006B3EAB">
        <w:rPr>
          <w:i/>
          <w:iCs/>
          <w:sz w:val="20"/>
          <w:szCs w:val="20"/>
        </w:rPr>
        <w:t>Ibidem</w:t>
      </w:r>
      <w:r w:rsidRPr="006B3EAB">
        <w:rPr>
          <w:sz w:val="20"/>
          <w:szCs w:val="20"/>
        </w:rPr>
        <w:t>, p. 16.</w:t>
      </w:r>
    </w:p>
  </w:footnote>
  <w:footnote w:id="65">
    <w:p w:rsidR="00887C51" w:rsidRPr="006B3EAB" w:rsidRDefault="00887C51" w:rsidP="00887C51">
      <w:pPr>
        <w:pStyle w:val="FootnoteText"/>
        <w:ind w:left="-142" w:right="-563" w:firstLine="0"/>
        <w:rPr>
          <w:sz w:val="20"/>
          <w:szCs w:val="20"/>
        </w:rPr>
      </w:pPr>
      <w:r w:rsidRPr="006B3EAB">
        <w:rPr>
          <w:rStyle w:val="FootnoteReference"/>
        </w:rPr>
        <w:footnoteRef/>
      </w:r>
      <w:r w:rsidRPr="006B3EAB">
        <w:rPr>
          <w:sz w:val="20"/>
          <w:szCs w:val="20"/>
        </w:rPr>
        <w:t xml:space="preserve"> Cf. Pr.Prof. D. Stăniloae,</w:t>
      </w:r>
      <w:r w:rsidRPr="006B3EAB">
        <w:rPr>
          <w:i/>
          <w:sz w:val="20"/>
          <w:szCs w:val="20"/>
        </w:rPr>
        <w:t xml:space="preserve"> Chipul (...), op.cit., </w:t>
      </w:r>
      <w:r w:rsidRPr="006B3EAB">
        <w:rPr>
          <w:sz w:val="20"/>
          <w:szCs w:val="20"/>
        </w:rPr>
        <w:t xml:space="preserve"> p. 40-41 şi Pr. Prof.Dumitru Stăniloae, </w:t>
      </w:r>
      <w:r w:rsidRPr="006B3EAB">
        <w:rPr>
          <w:i/>
          <w:sz w:val="20"/>
          <w:szCs w:val="20"/>
        </w:rPr>
        <w:t>Iisus Hristos, lumina lumii şi îndumnezeitorul omului</w:t>
      </w:r>
      <w:r w:rsidRPr="006B3EAB">
        <w:rPr>
          <w:sz w:val="20"/>
          <w:szCs w:val="20"/>
        </w:rPr>
        <w:t xml:space="preserve">, </w:t>
      </w:r>
      <w:r w:rsidRPr="006B3EAB">
        <w:rPr>
          <w:i/>
          <w:sz w:val="20"/>
          <w:szCs w:val="20"/>
        </w:rPr>
        <w:t>op.cit.</w:t>
      </w:r>
      <w:r w:rsidRPr="006B3EAB">
        <w:rPr>
          <w:sz w:val="20"/>
          <w:szCs w:val="20"/>
        </w:rPr>
        <w:t>, p. 24</w:t>
      </w:r>
    </w:p>
  </w:footnote>
  <w:footnote w:id="66">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sz w:val="20"/>
          <w:szCs w:val="20"/>
        </w:rPr>
        <w:tab/>
      </w:r>
      <w:r w:rsidRPr="006B3EAB">
        <w:rPr>
          <w:i/>
          <w:iCs/>
          <w:sz w:val="20"/>
          <w:szCs w:val="20"/>
        </w:rPr>
        <w:t>Ibidem</w:t>
      </w:r>
      <w:r w:rsidRPr="006B3EAB">
        <w:rPr>
          <w:sz w:val="20"/>
          <w:szCs w:val="20"/>
        </w:rPr>
        <w:t>, p. 415, 417.</w:t>
      </w:r>
    </w:p>
  </w:footnote>
  <w:footnote w:id="67">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Jean-Claude Larchet, </w:t>
      </w:r>
      <w:r w:rsidRPr="006B3EAB">
        <w:rPr>
          <w:i/>
          <w:iCs/>
          <w:sz w:val="20"/>
          <w:szCs w:val="20"/>
        </w:rPr>
        <w:t>Acesta este trupul Meu…</w:t>
      </w:r>
      <w:r w:rsidRPr="006B3EAB">
        <w:rPr>
          <w:sz w:val="20"/>
          <w:szCs w:val="20"/>
        </w:rPr>
        <w:t xml:space="preserve">, trad. Marinela Bojin, Bucureşti, Editura Sophia, 2006, p. 5.; cf. </w:t>
      </w:r>
      <w:r w:rsidRPr="006B3EAB">
        <w:rPr>
          <w:i/>
          <w:sz w:val="20"/>
          <w:szCs w:val="20"/>
        </w:rPr>
        <w:t>Idem</w:t>
      </w:r>
      <w:r w:rsidRPr="006B3EAB">
        <w:rPr>
          <w:sz w:val="20"/>
          <w:szCs w:val="20"/>
        </w:rPr>
        <w:t xml:space="preserve">, </w:t>
      </w:r>
      <w:r w:rsidRPr="006B3EAB">
        <w:rPr>
          <w:i/>
          <w:sz w:val="20"/>
          <w:szCs w:val="20"/>
        </w:rPr>
        <w:t>Semnificaţia trupului în Ortodoxie</w:t>
      </w:r>
      <w:r w:rsidRPr="006B3EAB">
        <w:rPr>
          <w:sz w:val="20"/>
          <w:szCs w:val="20"/>
        </w:rPr>
        <w:t>, Ed.Basilica, 2010</w:t>
      </w:r>
    </w:p>
  </w:footnote>
  <w:footnote w:id="68">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Jean-Claude Larchet, </w:t>
      </w:r>
      <w:r w:rsidRPr="006B3EAB">
        <w:rPr>
          <w:i/>
          <w:sz w:val="20"/>
          <w:szCs w:val="20"/>
        </w:rPr>
        <w:t>Sf. Maxim Mărturisitoru – mediator între Răsărit şi Apus</w:t>
      </w:r>
      <w:r w:rsidRPr="006B3EAB">
        <w:rPr>
          <w:sz w:val="20"/>
          <w:szCs w:val="20"/>
        </w:rPr>
        <w:t>, tipărit  cu binecuvântarea IPS Teofan Mitropolitul Moldovei şi Bucovinei, trad. Daniela Cojocariu, ed. îngrijită: Pr. Dragoş Bahrim, Iaşi, Editura Doxologia, 2010, p. 111</w:t>
      </w:r>
    </w:p>
  </w:footnote>
  <w:footnote w:id="69">
    <w:p w:rsidR="00887C51" w:rsidRPr="006B3EAB" w:rsidRDefault="00887C51" w:rsidP="00887C51">
      <w:pPr>
        <w:spacing w:after="0" w:line="240" w:lineRule="auto"/>
        <w:ind w:left="-142"/>
        <w:rPr>
          <w:rFonts w:ascii="Times New Roman" w:hAnsi="Times New Roman"/>
          <w:sz w:val="20"/>
          <w:szCs w:val="20"/>
        </w:rPr>
      </w:pPr>
      <w:r w:rsidRPr="006B3EAB">
        <w:rPr>
          <w:rStyle w:val="FootnoteReference"/>
          <w:rFonts w:ascii="Times New Roman" w:hAnsi="Times New Roman"/>
        </w:rPr>
        <w:footnoteRef/>
      </w:r>
      <w:r w:rsidRPr="006B3EAB">
        <w:rPr>
          <w:rFonts w:ascii="Times New Roman" w:hAnsi="Times New Roman"/>
          <w:sz w:val="20"/>
          <w:szCs w:val="20"/>
        </w:rPr>
        <w:t xml:space="preserve"> Panayiotis </w:t>
      </w:r>
      <w:r w:rsidRPr="006B3EAB">
        <w:rPr>
          <w:rFonts w:ascii="Times New Roman" w:hAnsi="Times New Roman"/>
          <w:smallCaps/>
          <w:sz w:val="20"/>
          <w:szCs w:val="20"/>
        </w:rPr>
        <w:t>Nellas,</w:t>
      </w:r>
      <w:r w:rsidRPr="006B3EAB">
        <w:rPr>
          <w:rFonts w:ascii="Times New Roman" w:hAnsi="Times New Roman"/>
          <w:sz w:val="20"/>
          <w:szCs w:val="20"/>
        </w:rPr>
        <w:t xml:space="preserve"> </w:t>
      </w:r>
      <w:r w:rsidRPr="006B3EAB">
        <w:rPr>
          <w:rFonts w:ascii="Times New Roman" w:hAnsi="Times New Roman"/>
          <w:i/>
          <w:sz w:val="20"/>
          <w:szCs w:val="20"/>
        </w:rPr>
        <w:t xml:space="preserve"> </w:t>
      </w:r>
      <w:r w:rsidRPr="006B3EAB">
        <w:rPr>
          <w:rFonts w:ascii="Times New Roman" w:hAnsi="Times New Roman"/>
          <w:bCs/>
          <w:i/>
          <w:sz w:val="20"/>
          <w:szCs w:val="20"/>
        </w:rPr>
        <w:t>Omul – animal îndumnezeit</w:t>
      </w:r>
      <w:r w:rsidRPr="006B3EAB">
        <w:rPr>
          <w:rFonts w:ascii="Times New Roman" w:hAnsi="Times New Roman"/>
          <w:i/>
          <w:sz w:val="20"/>
          <w:szCs w:val="20"/>
        </w:rPr>
        <w:t>,</w:t>
      </w:r>
      <w:r w:rsidRPr="006B3EAB">
        <w:rPr>
          <w:rFonts w:ascii="Times New Roman" w:hAnsi="Times New Roman"/>
          <w:sz w:val="20"/>
          <w:szCs w:val="20"/>
        </w:rPr>
        <w:t xml:space="preserve"> studiu introd. şi trad. diac. Ioan I. Ică, Ed. Deisis, Sibiu, 1994. </w:t>
      </w:r>
    </w:p>
  </w:footnote>
  <w:footnote w:id="70">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sz w:val="20"/>
          <w:szCs w:val="20"/>
        </w:rPr>
        <w:tab/>
        <w:t>Pr.Prof.D Stănilaoe, „</w:t>
      </w:r>
      <w:r w:rsidRPr="006B3EAB">
        <w:rPr>
          <w:bCs/>
          <w:sz w:val="20"/>
          <w:szCs w:val="20"/>
        </w:rPr>
        <w:t>Note pe marginea unei cărţi de antropologie ortodoxă”</w:t>
      </w:r>
      <w:r w:rsidRPr="006B3EAB">
        <w:rPr>
          <w:sz w:val="20"/>
          <w:szCs w:val="20"/>
        </w:rPr>
        <w:t>, în “Ortodoxia”, nr. 1 (1988), p. 149.</w:t>
      </w:r>
    </w:p>
  </w:footnote>
  <w:footnote w:id="71">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Charles Darwin </w:t>
      </w:r>
      <w:r w:rsidRPr="006B3EAB">
        <w:rPr>
          <w:i/>
          <w:sz w:val="20"/>
          <w:szCs w:val="20"/>
        </w:rPr>
        <w:t>Originea speciilor</w:t>
      </w:r>
      <w:r w:rsidRPr="006B3EAB">
        <w:rPr>
          <w:sz w:val="20"/>
          <w:szCs w:val="20"/>
        </w:rPr>
        <w:t>, Editura Academiei Române și Editura Herald, București, 2017, 517p.</w:t>
      </w:r>
    </w:p>
  </w:footnote>
  <w:footnote w:id="72">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i/>
          <w:sz w:val="20"/>
          <w:szCs w:val="20"/>
        </w:rPr>
        <w:t>Ibidem</w:t>
      </w:r>
      <w:r w:rsidRPr="006B3EAB">
        <w:rPr>
          <w:sz w:val="20"/>
          <w:szCs w:val="20"/>
        </w:rPr>
        <w:t>, p.516</w:t>
      </w:r>
    </w:p>
  </w:footnote>
  <w:footnote w:id="73">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Ernst Mayr, unul dintre cei mai mari biologi contemporani, considerat „un Darwin al secolului XX”, </w:t>
      </w:r>
      <w:r w:rsidRPr="00EC4CBC">
        <w:rPr>
          <w:b/>
          <w:sz w:val="20"/>
          <w:szCs w:val="20"/>
        </w:rPr>
        <w:t xml:space="preserve">îl menționează în primul rând pe Francisco Ayala </w:t>
      </w:r>
      <w:r w:rsidRPr="006B3EAB">
        <w:rPr>
          <w:sz w:val="20"/>
          <w:szCs w:val="20"/>
        </w:rPr>
        <w:t xml:space="preserve">atunci când aduce mulțumiri celor care l-au ajutat în definitivarea cărții sale publicate și la noi: Ernst Mayr, </w:t>
      </w:r>
      <w:r w:rsidRPr="006B3EAB">
        <w:rPr>
          <w:i/>
          <w:sz w:val="20"/>
          <w:szCs w:val="20"/>
        </w:rPr>
        <w:t>De la bacterii la om</w:t>
      </w:r>
      <w:r w:rsidRPr="006B3EAB">
        <w:rPr>
          <w:sz w:val="20"/>
          <w:szCs w:val="20"/>
        </w:rPr>
        <w:t xml:space="preserve">, </w:t>
      </w:r>
      <w:r w:rsidRPr="006B3EAB">
        <w:rPr>
          <w:i/>
          <w:sz w:val="20"/>
          <w:szCs w:val="20"/>
        </w:rPr>
        <w:t>Evoluția lumii vii</w:t>
      </w:r>
      <w:r w:rsidRPr="006B3EAB">
        <w:rPr>
          <w:sz w:val="20"/>
          <w:szCs w:val="20"/>
        </w:rPr>
        <w:t>, traducere de Marcela Elena Badea și Ileana  Popovici, Editura Humanitas, București, 2008, p.17</w:t>
      </w:r>
    </w:p>
  </w:footnote>
  <w:footnote w:id="74">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Francisco J.Ayala,  </w:t>
      </w:r>
      <w:r w:rsidRPr="006B3EAB">
        <w:rPr>
          <w:i/>
          <w:sz w:val="20"/>
          <w:szCs w:val="20"/>
        </w:rPr>
        <w:t>Darul lui Darwin către știință și religie,</w:t>
      </w:r>
      <w:r w:rsidRPr="006B3EAB">
        <w:rPr>
          <w:sz w:val="20"/>
          <w:szCs w:val="20"/>
        </w:rPr>
        <w:t xml:space="preserve"> Editura Curtea Veche, București, 2008,263p.</w:t>
      </w:r>
    </w:p>
  </w:footnote>
  <w:footnote w:id="75">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i/>
          <w:sz w:val="20"/>
          <w:szCs w:val="20"/>
        </w:rPr>
        <w:t>Ibidem</w:t>
      </w:r>
      <w:r w:rsidRPr="006B3EAB">
        <w:rPr>
          <w:sz w:val="20"/>
          <w:szCs w:val="20"/>
        </w:rPr>
        <w:t>, p.9</w:t>
      </w:r>
    </w:p>
  </w:footnote>
  <w:footnote w:id="76">
    <w:p w:rsidR="00887C51" w:rsidRPr="006B3EAB" w:rsidRDefault="00887C51" w:rsidP="00887C51">
      <w:pPr>
        <w:pStyle w:val="BodyText"/>
        <w:tabs>
          <w:tab w:val="left" w:pos="5387"/>
        </w:tabs>
        <w:ind w:left="-142" w:right="-563" w:firstLine="0"/>
      </w:pPr>
      <w:r w:rsidRPr="006B3EAB">
        <w:rPr>
          <w:rStyle w:val="FootnoteReference"/>
        </w:rPr>
        <w:footnoteRef/>
      </w:r>
      <w:r w:rsidRPr="006B3EAB">
        <w:t xml:space="preserve"> </w:t>
      </w:r>
      <w:r w:rsidRPr="006B3EAB">
        <w:rPr>
          <w:i/>
        </w:rPr>
        <w:t>Ibidem</w:t>
      </w:r>
      <w:r w:rsidRPr="006B3EAB">
        <w:t>,p.27  Cu Gregor Mendel, călugărul augustinian ceh, fondator al geneticii, s-a întâmplat la fel, anume i s-a atribuit descoperirea „legilor” eredității, văzute ca generalizări derivate din experimentele sale, și nu descoperirea componentelor fundamentale ale „teoriei” eredității biologice, așa cum era firesc.</w:t>
      </w:r>
    </w:p>
    <w:p w:rsidR="00887C51" w:rsidRPr="006B3EAB" w:rsidRDefault="00887C51" w:rsidP="00887C51">
      <w:pPr>
        <w:pStyle w:val="FootnoteText"/>
        <w:ind w:left="-142" w:right="-563"/>
        <w:rPr>
          <w:sz w:val="20"/>
          <w:szCs w:val="20"/>
        </w:rPr>
      </w:pPr>
      <w:r w:rsidRPr="006B3EAB">
        <w:rPr>
          <w:sz w:val="20"/>
          <w:szCs w:val="20"/>
        </w:rPr>
        <w:t xml:space="preserve">  </w:t>
      </w:r>
    </w:p>
  </w:footnote>
  <w:footnote w:id="77">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i/>
          <w:sz w:val="20"/>
          <w:szCs w:val="20"/>
        </w:rPr>
        <w:t>Ibidem</w:t>
      </w:r>
      <w:r w:rsidRPr="006B3EAB">
        <w:rPr>
          <w:sz w:val="20"/>
          <w:szCs w:val="20"/>
        </w:rPr>
        <w:t>, p.68-70</w:t>
      </w:r>
    </w:p>
  </w:footnote>
  <w:footnote w:id="78">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Denis Alexander, </w:t>
      </w:r>
      <w:r w:rsidRPr="006B3EAB">
        <w:rPr>
          <w:i/>
          <w:sz w:val="20"/>
          <w:szCs w:val="20"/>
        </w:rPr>
        <w:t>Creație sau evoluție.Trebuie să alegem?</w:t>
      </w:r>
      <w:r w:rsidRPr="006B3EAB">
        <w:rPr>
          <w:sz w:val="20"/>
          <w:szCs w:val="20"/>
        </w:rPr>
        <w:t>, Editura Curtea Veche, București, 2010, p.88</w:t>
      </w:r>
    </w:p>
  </w:footnote>
  <w:footnote w:id="79">
    <w:p w:rsidR="00887C51" w:rsidRPr="006B3EAB" w:rsidRDefault="00887C51" w:rsidP="00887C51">
      <w:pPr>
        <w:shd w:val="clear" w:color="auto" w:fill="FFFFFF"/>
        <w:spacing w:after="0" w:line="240" w:lineRule="auto"/>
        <w:ind w:left="-142" w:right="-563"/>
        <w:rPr>
          <w:rFonts w:ascii="Times New Roman" w:eastAsia="Times New Roman" w:hAnsi="Times New Roman"/>
          <w:color w:val="000000"/>
          <w:spacing w:val="46"/>
          <w:sz w:val="20"/>
          <w:szCs w:val="20"/>
          <w:lang w:val="ro-RO" w:eastAsia="ro-RO"/>
        </w:rPr>
      </w:pPr>
      <w:r w:rsidRPr="006B3EAB">
        <w:rPr>
          <w:rStyle w:val="FootnoteReference"/>
          <w:rFonts w:ascii="Times New Roman" w:hAnsi="Times New Roman"/>
        </w:rPr>
        <w:footnoteRef/>
      </w:r>
      <w:r w:rsidRPr="006B3EAB">
        <w:rPr>
          <w:rFonts w:ascii="Times New Roman" w:eastAsia="Times New Roman" w:hAnsi="Times New Roman"/>
          <w:color w:val="000000"/>
          <w:spacing w:val="2"/>
          <w:sz w:val="20"/>
          <w:szCs w:val="20"/>
          <w:lang w:val="ro-RO" w:eastAsia="ro-RO"/>
        </w:rPr>
        <w:t>Gayl</w:t>
      </w:r>
      <w:r w:rsidRPr="006B3EAB">
        <w:rPr>
          <w:rFonts w:ascii="Times New Roman" w:eastAsia="Times New Roman" w:hAnsi="Times New Roman"/>
          <w:color w:val="000000"/>
          <w:sz w:val="20"/>
          <w:szCs w:val="20"/>
          <w:lang w:val="ro-RO" w:eastAsia="ro-RO"/>
        </w:rPr>
        <w:t>e</w:t>
      </w:r>
      <w:r w:rsidRPr="006B3EAB">
        <w:rPr>
          <w:rFonts w:ascii="Times New Roman" w:eastAsia="Times New Roman" w:hAnsi="Times New Roman"/>
          <w:color w:val="000000"/>
          <w:spacing w:val="7"/>
          <w:sz w:val="20"/>
          <w:szCs w:val="20"/>
          <w:lang w:val="ro-RO" w:eastAsia="ro-RO"/>
        </w:rPr>
        <w:t xml:space="preserve"> E</w:t>
      </w:r>
      <w:r w:rsidRPr="006B3EAB">
        <w:rPr>
          <w:rFonts w:ascii="Times New Roman" w:eastAsia="Times New Roman" w:hAnsi="Times New Roman"/>
          <w:color w:val="000000"/>
          <w:sz w:val="20"/>
          <w:szCs w:val="20"/>
          <w:lang w:val="ro-RO" w:eastAsia="ro-RO"/>
        </w:rPr>
        <w:t>.</w:t>
      </w:r>
      <w:r w:rsidRPr="006B3EAB">
        <w:rPr>
          <w:rFonts w:ascii="Times New Roman" w:eastAsia="Times New Roman" w:hAnsi="Times New Roman"/>
          <w:color w:val="000000"/>
          <w:spacing w:val="9"/>
          <w:sz w:val="20"/>
          <w:szCs w:val="20"/>
          <w:lang w:val="ro-RO" w:eastAsia="ro-RO"/>
        </w:rPr>
        <w:t xml:space="preserve"> Woloscha</w:t>
      </w:r>
      <w:r w:rsidRPr="006B3EAB">
        <w:rPr>
          <w:rFonts w:ascii="Times New Roman" w:eastAsia="Times New Roman" w:hAnsi="Times New Roman"/>
          <w:color w:val="000000"/>
          <w:sz w:val="20"/>
          <w:szCs w:val="20"/>
          <w:lang w:val="ro-RO" w:eastAsia="ro-RO"/>
        </w:rPr>
        <w:t xml:space="preserve">k , „The compatibility of the principles of biologic evolution with Eastern Orthodoxy”, in </w:t>
      </w:r>
      <w:r w:rsidRPr="006B3EAB">
        <w:rPr>
          <w:rFonts w:ascii="Times New Roman" w:hAnsi="Times New Roman"/>
          <w:sz w:val="20"/>
          <w:szCs w:val="20"/>
        </w:rPr>
        <w:t xml:space="preserve"> </w:t>
      </w:r>
      <w:r w:rsidRPr="006B3EAB">
        <w:rPr>
          <w:rFonts w:ascii="Times New Roman" w:eastAsia="Times New Roman" w:hAnsi="Times New Roman"/>
          <w:color w:val="000000"/>
          <w:sz w:val="20"/>
          <w:szCs w:val="20"/>
          <w:lang w:val="ro-RO" w:eastAsia="ro-RO"/>
        </w:rPr>
        <w:t>St. Vladimir's Theological Quarterly 55:2 (2011), p. 209</w:t>
      </w:r>
    </w:p>
    <w:p w:rsidR="00887C51" w:rsidRPr="006B3EAB" w:rsidRDefault="00887C51" w:rsidP="00887C51">
      <w:pPr>
        <w:pStyle w:val="FootnoteText"/>
        <w:ind w:left="-142" w:right="-563"/>
        <w:rPr>
          <w:sz w:val="20"/>
          <w:szCs w:val="20"/>
        </w:rPr>
      </w:pPr>
    </w:p>
  </w:footnote>
  <w:footnote w:id="80">
    <w:p w:rsidR="00887C51" w:rsidRPr="006B3EAB" w:rsidRDefault="00887C51" w:rsidP="00887C51">
      <w:pPr>
        <w:pStyle w:val="FootnoteText"/>
        <w:ind w:left="-142" w:right="-563"/>
        <w:rPr>
          <w:sz w:val="20"/>
          <w:szCs w:val="20"/>
          <w:lang w:val="en-US"/>
        </w:rPr>
      </w:pPr>
      <w:r w:rsidRPr="006B3EAB">
        <w:rPr>
          <w:rStyle w:val="FootnoteReference"/>
        </w:rPr>
        <w:footnoteRef/>
      </w:r>
      <w:r w:rsidRPr="006B3EAB">
        <w:rPr>
          <w:sz w:val="20"/>
          <w:szCs w:val="20"/>
        </w:rPr>
        <w:t xml:space="preserve"> În special: </w:t>
      </w:r>
      <w:r w:rsidRPr="006B3EAB">
        <w:rPr>
          <w:sz w:val="20"/>
          <w:szCs w:val="20"/>
          <w:lang w:val="en-US"/>
        </w:rPr>
        <w:t xml:space="preserve">Charles Darwin, </w:t>
      </w:r>
      <w:r w:rsidRPr="006B3EAB">
        <w:rPr>
          <w:i/>
          <w:iCs/>
          <w:sz w:val="20"/>
          <w:szCs w:val="20"/>
          <w:lang w:val="en-US"/>
        </w:rPr>
        <w:t>On the Origin of Species by Means of Natural Selection, or the Preservation of Favoured Races in the Struggle for Life</w:t>
      </w:r>
      <w:r w:rsidRPr="006B3EAB">
        <w:rPr>
          <w:sz w:val="20"/>
          <w:szCs w:val="20"/>
          <w:lang w:val="en-US"/>
        </w:rPr>
        <w:t xml:space="preserve">(1st ed.), London: John Murray, 1859; Charles Darwin, </w:t>
      </w:r>
      <w:r w:rsidRPr="006B3EAB">
        <w:rPr>
          <w:i/>
          <w:iCs/>
          <w:sz w:val="20"/>
          <w:szCs w:val="20"/>
          <w:lang w:val="en-US"/>
        </w:rPr>
        <w:t xml:space="preserve">The Descent of Man, and Selection in Relation to Sex </w:t>
      </w:r>
      <w:r w:rsidRPr="006B3EAB">
        <w:rPr>
          <w:sz w:val="20"/>
          <w:szCs w:val="20"/>
          <w:lang w:val="en-US"/>
        </w:rPr>
        <w:t xml:space="preserve">(1st ed.), London : John Murray, 1871. </w:t>
      </w:r>
    </w:p>
  </w:footnote>
  <w:footnote w:id="81">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color w:val="000000"/>
          <w:spacing w:val="2"/>
          <w:sz w:val="20"/>
          <w:szCs w:val="20"/>
          <w:lang w:eastAsia="ro-RO"/>
        </w:rPr>
        <w:t>Gayl</w:t>
      </w:r>
      <w:r w:rsidRPr="006B3EAB">
        <w:rPr>
          <w:color w:val="000000"/>
          <w:sz w:val="20"/>
          <w:szCs w:val="20"/>
          <w:lang w:eastAsia="ro-RO"/>
        </w:rPr>
        <w:t>e</w:t>
      </w:r>
      <w:r w:rsidRPr="006B3EAB">
        <w:rPr>
          <w:color w:val="000000"/>
          <w:spacing w:val="7"/>
          <w:sz w:val="20"/>
          <w:szCs w:val="20"/>
          <w:lang w:eastAsia="ro-RO"/>
        </w:rPr>
        <w:t xml:space="preserve"> E</w:t>
      </w:r>
      <w:r w:rsidRPr="006B3EAB">
        <w:rPr>
          <w:color w:val="000000"/>
          <w:sz w:val="20"/>
          <w:szCs w:val="20"/>
          <w:lang w:eastAsia="ro-RO"/>
        </w:rPr>
        <w:t>.</w:t>
      </w:r>
      <w:r w:rsidRPr="006B3EAB">
        <w:rPr>
          <w:color w:val="000000"/>
          <w:spacing w:val="9"/>
          <w:sz w:val="20"/>
          <w:szCs w:val="20"/>
          <w:lang w:eastAsia="ro-RO"/>
        </w:rPr>
        <w:t xml:space="preserve"> Woloscha</w:t>
      </w:r>
      <w:r w:rsidRPr="006B3EAB">
        <w:rPr>
          <w:color w:val="000000"/>
          <w:sz w:val="20"/>
          <w:szCs w:val="20"/>
          <w:lang w:eastAsia="ro-RO"/>
        </w:rPr>
        <w:t xml:space="preserve">k, </w:t>
      </w:r>
      <w:r w:rsidRPr="006B3EAB">
        <w:rPr>
          <w:i/>
          <w:color w:val="000000"/>
          <w:sz w:val="20"/>
          <w:szCs w:val="20"/>
          <w:lang w:eastAsia="ro-RO"/>
        </w:rPr>
        <w:t>op.cit</w:t>
      </w:r>
      <w:r w:rsidRPr="006B3EAB">
        <w:rPr>
          <w:color w:val="000000"/>
          <w:sz w:val="20"/>
          <w:szCs w:val="20"/>
          <w:lang w:eastAsia="ro-RO"/>
        </w:rPr>
        <w:t>., p.210</w:t>
      </w:r>
    </w:p>
  </w:footnote>
  <w:footnote w:id="82">
    <w:p w:rsidR="00887C51" w:rsidRPr="006B3EAB" w:rsidRDefault="00887C51" w:rsidP="00887C51">
      <w:pPr>
        <w:pStyle w:val="FootnoteText"/>
        <w:ind w:left="-142" w:right="-563"/>
        <w:rPr>
          <w:sz w:val="20"/>
          <w:szCs w:val="20"/>
          <w:lang w:val="en-US"/>
        </w:rPr>
      </w:pPr>
      <w:r w:rsidRPr="006B3EAB">
        <w:rPr>
          <w:rStyle w:val="FootnoteReference"/>
        </w:rPr>
        <w:footnoteRef/>
      </w:r>
      <w:r w:rsidRPr="006B3EAB">
        <w:rPr>
          <w:sz w:val="20"/>
          <w:szCs w:val="20"/>
        </w:rPr>
        <w:t xml:space="preserve"> </w:t>
      </w:r>
      <w:r w:rsidRPr="006B3EAB">
        <w:rPr>
          <w:sz w:val="20"/>
          <w:szCs w:val="20"/>
          <w:lang w:val="en-US"/>
        </w:rPr>
        <w:t xml:space="preserve"> Douglas J Futuyma, </w:t>
      </w:r>
      <w:r w:rsidRPr="006B3EAB">
        <w:rPr>
          <w:i/>
          <w:iCs/>
          <w:sz w:val="20"/>
          <w:szCs w:val="20"/>
          <w:lang w:val="en-US"/>
        </w:rPr>
        <w:t xml:space="preserve">Evolutionary Biology, </w:t>
      </w:r>
      <w:r w:rsidRPr="006B3EAB">
        <w:rPr>
          <w:sz w:val="20"/>
          <w:szCs w:val="20"/>
          <w:lang w:val="en-US"/>
        </w:rPr>
        <w:t>Sunderland, MS, Sinauer Associates, 1997, p.751.</w:t>
      </w:r>
    </w:p>
  </w:footnote>
  <w:footnote w:id="83">
    <w:p w:rsidR="00887C51" w:rsidRPr="006B3EAB" w:rsidRDefault="00887C51" w:rsidP="00887C51">
      <w:pPr>
        <w:pStyle w:val="FootnoteText"/>
        <w:ind w:left="-142" w:right="-563"/>
        <w:rPr>
          <w:sz w:val="20"/>
          <w:szCs w:val="20"/>
          <w:lang w:val="en-US"/>
        </w:rPr>
      </w:pPr>
      <w:r w:rsidRPr="006B3EAB">
        <w:rPr>
          <w:rStyle w:val="FootnoteReference"/>
        </w:rPr>
        <w:footnoteRef/>
      </w:r>
      <w:r w:rsidRPr="006B3EAB">
        <w:rPr>
          <w:sz w:val="20"/>
          <w:szCs w:val="20"/>
        </w:rPr>
        <w:t xml:space="preserve"> </w:t>
      </w:r>
      <w:r w:rsidRPr="006B3EAB">
        <w:rPr>
          <w:sz w:val="20"/>
          <w:szCs w:val="20"/>
          <w:lang w:val="en-US"/>
        </w:rPr>
        <w:t xml:space="preserve">John M Smith and Eörs Szathmáry, </w:t>
      </w:r>
      <w:r w:rsidRPr="006B3EAB">
        <w:rPr>
          <w:i/>
          <w:iCs/>
          <w:sz w:val="20"/>
          <w:szCs w:val="20"/>
          <w:lang w:val="en-US"/>
        </w:rPr>
        <w:t xml:space="preserve">The Origins of Life: From the Birth of Life to the Origin of Language, </w:t>
      </w:r>
      <w:r w:rsidRPr="006B3EAB">
        <w:rPr>
          <w:sz w:val="20"/>
          <w:szCs w:val="20"/>
          <w:lang w:val="en-US"/>
        </w:rPr>
        <w:t xml:space="preserve">New York: Oxford University Press, 1999, p.81; David S Wilson, </w:t>
      </w:r>
      <w:r w:rsidRPr="006B3EAB">
        <w:rPr>
          <w:i/>
          <w:iCs/>
          <w:sz w:val="20"/>
          <w:szCs w:val="20"/>
          <w:lang w:val="en-US"/>
        </w:rPr>
        <w:t xml:space="preserve">Darwin's Cathedral: Evolution, Religion, and the Nature of Society, </w:t>
      </w:r>
      <w:r w:rsidRPr="006B3EAB">
        <w:rPr>
          <w:sz w:val="20"/>
          <w:szCs w:val="20"/>
          <w:lang w:val="en-US"/>
        </w:rPr>
        <w:t>Chicago: The University of Chicago Press, 2002, p.9-18.</w:t>
      </w:r>
    </w:p>
  </w:footnote>
  <w:footnote w:id="84">
    <w:p w:rsidR="00887C51" w:rsidRPr="006B3EAB" w:rsidRDefault="00887C51" w:rsidP="00887C51">
      <w:pPr>
        <w:pStyle w:val="FootnoteText"/>
        <w:ind w:left="-142" w:right="-563"/>
        <w:rPr>
          <w:sz w:val="20"/>
          <w:szCs w:val="20"/>
          <w:lang w:val="en-US"/>
        </w:rPr>
      </w:pPr>
      <w:r w:rsidRPr="006B3EAB">
        <w:rPr>
          <w:rStyle w:val="FootnoteReference"/>
        </w:rPr>
        <w:footnoteRef/>
      </w:r>
      <w:r w:rsidRPr="006B3EAB">
        <w:rPr>
          <w:sz w:val="20"/>
          <w:szCs w:val="20"/>
        </w:rPr>
        <w:t xml:space="preserve"> </w:t>
      </w:r>
      <w:r w:rsidRPr="006B3EAB">
        <w:rPr>
          <w:sz w:val="20"/>
          <w:szCs w:val="20"/>
          <w:lang w:val="en-US"/>
        </w:rPr>
        <w:t xml:space="preserve"> Michael J. Behe, </w:t>
      </w:r>
      <w:r w:rsidRPr="006B3EAB">
        <w:rPr>
          <w:i/>
          <w:iCs/>
          <w:sz w:val="20"/>
          <w:szCs w:val="20"/>
          <w:lang w:val="en-US"/>
        </w:rPr>
        <w:t xml:space="preserve">Darwin s Black Box: The Biochemical Challenge to Evolution, </w:t>
      </w:r>
      <w:r w:rsidRPr="006B3EAB">
        <w:rPr>
          <w:sz w:val="20"/>
          <w:szCs w:val="20"/>
          <w:lang w:val="en-US"/>
        </w:rPr>
        <w:t>Free Press, 1998</w:t>
      </w:r>
    </w:p>
  </w:footnote>
  <w:footnote w:id="85">
    <w:p w:rsidR="00887C51" w:rsidRPr="006B3EAB" w:rsidRDefault="00887C51" w:rsidP="00887C51">
      <w:pPr>
        <w:pStyle w:val="FootnoteText"/>
        <w:ind w:left="-142" w:right="-563"/>
        <w:rPr>
          <w:sz w:val="20"/>
          <w:szCs w:val="20"/>
          <w:lang w:val="en-US"/>
        </w:rPr>
      </w:pPr>
      <w:r w:rsidRPr="006B3EAB">
        <w:rPr>
          <w:rStyle w:val="FootnoteReference"/>
        </w:rPr>
        <w:footnoteRef/>
      </w:r>
      <w:r w:rsidRPr="006B3EAB">
        <w:rPr>
          <w:sz w:val="20"/>
          <w:szCs w:val="20"/>
        </w:rPr>
        <w:t xml:space="preserve"> </w:t>
      </w:r>
      <w:r w:rsidRPr="006B3EAB">
        <w:rPr>
          <w:sz w:val="20"/>
          <w:szCs w:val="20"/>
          <w:lang w:val="en-US"/>
        </w:rPr>
        <w:t xml:space="preserve"> V.: Gayle E. Woloschak, </w:t>
      </w:r>
      <w:r w:rsidRPr="006B3EAB">
        <w:rPr>
          <w:i/>
          <w:iCs/>
          <w:sz w:val="20"/>
          <w:szCs w:val="20"/>
          <w:lang w:val="en-US"/>
        </w:rPr>
        <w:t xml:space="preserve">Beauty and Unity in Creation: The Evolution of Life, </w:t>
      </w:r>
      <w:r w:rsidRPr="006B3EAB">
        <w:rPr>
          <w:sz w:val="20"/>
          <w:szCs w:val="20"/>
          <w:lang w:val="en-US"/>
        </w:rPr>
        <w:t>Minneapolis, MN: Light and Life Publishing Co., 1996</w:t>
      </w:r>
    </w:p>
  </w:footnote>
  <w:footnote w:id="86">
    <w:p w:rsidR="00887C51" w:rsidRPr="006B3EAB" w:rsidRDefault="00887C51" w:rsidP="00887C51">
      <w:pPr>
        <w:pStyle w:val="FootnoteText"/>
        <w:ind w:left="-142" w:right="-563"/>
        <w:rPr>
          <w:sz w:val="20"/>
          <w:szCs w:val="20"/>
          <w:lang w:val="en-US"/>
        </w:rPr>
      </w:pPr>
      <w:r w:rsidRPr="006B3EAB">
        <w:rPr>
          <w:rStyle w:val="FootnoteReference"/>
        </w:rPr>
        <w:footnoteRef/>
      </w:r>
      <w:r w:rsidRPr="006B3EAB">
        <w:rPr>
          <w:sz w:val="20"/>
          <w:szCs w:val="20"/>
        </w:rPr>
        <w:t xml:space="preserve"> </w:t>
      </w:r>
      <w:r w:rsidRPr="006B3EAB">
        <w:rPr>
          <w:sz w:val="20"/>
          <w:szCs w:val="20"/>
          <w:lang w:val="en-US"/>
        </w:rPr>
        <w:t xml:space="preserve"> OrthodoxWiki,  http ://orthodoxwiki.org/ Evolution. </w:t>
      </w:r>
      <w:r w:rsidRPr="006B3EAB">
        <w:rPr>
          <w:sz w:val="20"/>
          <w:szCs w:val="20"/>
        </w:rPr>
        <w:t xml:space="preserve"> </w:t>
      </w:r>
    </w:p>
  </w:footnote>
  <w:footnote w:id="87">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sz w:val="20"/>
          <w:szCs w:val="20"/>
          <w:lang w:val="en-US"/>
        </w:rPr>
        <w:t xml:space="preserve">Theodosius G. Dobzhansky, „Nothing in Biology Makes Sense Except in the Light of Evolution”,  </w:t>
      </w:r>
      <w:r w:rsidRPr="006B3EAB">
        <w:rPr>
          <w:iCs/>
          <w:sz w:val="20"/>
          <w:szCs w:val="20"/>
          <w:lang w:val="en-US"/>
        </w:rPr>
        <w:t>American Biology Teacher</w:t>
      </w:r>
      <w:r w:rsidRPr="006B3EAB">
        <w:rPr>
          <w:i/>
          <w:iCs/>
          <w:sz w:val="20"/>
          <w:szCs w:val="20"/>
          <w:lang w:val="en-US"/>
        </w:rPr>
        <w:t xml:space="preserve"> </w:t>
      </w:r>
      <w:r w:rsidRPr="006B3EAB">
        <w:rPr>
          <w:sz w:val="20"/>
          <w:szCs w:val="20"/>
          <w:lang w:val="en-US"/>
        </w:rPr>
        <w:t xml:space="preserve">35 ( 1973), p 125-29, </w:t>
      </w:r>
      <w:r w:rsidRPr="006B3EAB">
        <w:rPr>
          <w:i/>
          <w:sz w:val="20"/>
          <w:szCs w:val="20"/>
          <w:lang w:val="en-US"/>
        </w:rPr>
        <w:t xml:space="preserve">apud </w:t>
      </w:r>
      <w:r w:rsidRPr="006B3EAB">
        <w:rPr>
          <w:color w:val="000000"/>
          <w:spacing w:val="2"/>
          <w:sz w:val="20"/>
          <w:szCs w:val="20"/>
          <w:lang w:eastAsia="ro-RO"/>
        </w:rPr>
        <w:t>Gayl</w:t>
      </w:r>
      <w:r w:rsidRPr="006B3EAB">
        <w:rPr>
          <w:color w:val="000000"/>
          <w:sz w:val="20"/>
          <w:szCs w:val="20"/>
          <w:lang w:eastAsia="ro-RO"/>
        </w:rPr>
        <w:t>e</w:t>
      </w:r>
      <w:r w:rsidRPr="006B3EAB">
        <w:rPr>
          <w:color w:val="000000"/>
          <w:spacing w:val="7"/>
          <w:sz w:val="20"/>
          <w:szCs w:val="20"/>
          <w:lang w:eastAsia="ro-RO"/>
        </w:rPr>
        <w:t xml:space="preserve"> E</w:t>
      </w:r>
      <w:r w:rsidRPr="006B3EAB">
        <w:rPr>
          <w:color w:val="000000"/>
          <w:sz w:val="20"/>
          <w:szCs w:val="20"/>
          <w:lang w:eastAsia="ro-RO"/>
        </w:rPr>
        <w:t>.</w:t>
      </w:r>
      <w:r w:rsidRPr="006B3EAB">
        <w:rPr>
          <w:color w:val="000000"/>
          <w:spacing w:val="9"/>
          <w:sz w:val="20"/>
          <w:szCs w:val="20"/>
          <w:lang w:eastAsia="ro-RO"/>
        </w:rPr>
        <w:t xml:space="preserve"> Woloscha</w:t>
      </w:r>
      <w:r w:rsidRPr="006B3EAB">
        <w:rPr>
          <w:color w:val="000000"/>
          <w:sz w:val="20"/>
          <w:szCs w:val="20"/>
          <w:lang w:eastAsia="ro-RO"/>
        </w:rPr>
        <w:t xml:space="preserve">k, </w:t>
      </w:r>
      <w:r w:rsidRPr="006B3EAB">
        <w:rPr>
          <w:color w:val="000000"/>
          <w:sz w:val="20"/>
          <w:szCs w:val="20"/>
          <w:shd w:val="clear" w:color="auto" w:fill="FFFFFF"/>
        </w:rPr>
        <w:t xml:space="preserve">„The compatibility (...), </w:t>
      </w:r>
      <w:r w:rsidRPr="006B3EAB">
        <w:rPr>
          <w:i/>
          <w:color w:val="000000"/>
          <w:sz w:val="20"/>
          <w:szCs w:val="20"/>
          <w:lang w:eastAsia="ro-RO"/>
        </w:rPr>
        <w:t>op.cit</w:t>
      </w:r>
      <w:r w:rsidRPr="006B3EAB">
        <w:rPr>
          <w:color w:val="000000"/>
          <w:sz w:val="20"/>
          <w:szCs w:val="20"/>
          <w:lang w:eastAsia="ro-RO"/>
        </w:rPr>
        <w:t>., p.212. A se vedea și critica la adresa</w:t>
      </w:r>
      <w:r>
        <w:rPr>
          <w:color w:val="000000"/>
          <w:sz w:val="20"/>
          <w:szCs w:val="20"/>
          <w:lang w:eastAsia="ro-RO"/>
        </w:rPr>
        <w:t xml:space="preserve"> ideilor </w:t>
      </w:r>
      <w:r w:rsidRPr="006B3EAB">
        <w:rPr>
          <w:color w:val="000000"/>
          <w:sz w:val="20"/>
          <w:szCs w:val="20"/>
          <w:lang w:eastAsia="ro-RO"/>
        </w:rPr>
        <w:t xml:space="preserve"> lui </w:t>
      </w:r>
      <w:r w:rsidRPr="006B3EAB">
        <w:rPr>
          <w:sz w:val="20"/>
          <w:szCs w:val="20"/>
          <w:lang w:val="en-US"/>
        </w:rPr>
        <w:t xml:space="preserve">Theodosius G. Dobzhansky făcută de ieromonahul Serafime Rose în : </w:t>
      </w:r>
      <w:r w:rsidRPr="006B3EAB">
        <w:rPr>
          <w:i/>
          <w:sz w:val="20"/>
          <w:szCs w:val="20"/>
          <w:lang w:val="en-US"/>
        </w:rPr>
        <w:t>Cartea Facerii, crearea lumii și a întâiului om. Perspectivă creștin-ortodoxă</w:t>
      </w:r>
      <w:r w:rsidRPr="006B3EAB">
        <w:rPr>
          <w:sz w:val="20"/>
          <w:szCs w:val="20"/>
          <w:lang w:val="en-US"/>
        </w:rPr>
        <w:t xml:space="preserve">, Editura Sofia, București, 2011, p.223-225 </w:t>
      </w:r>
    </w:p>
    <w:p w:rsidR="00887C51" w:rsidRPr="006B3EAB" w:rsidRDefault="00887C51" w:rsidP="00887C51">
      <w:pPr>
        <w:pStyle w:val="FootnoteText"/>
        <w:ind w:left="-142" w:right="-563"/>
        <w:rPr>
          <w:i/>
          <w:sz w:val="20"/>
          <w:szCs w:val="20"/>
          <w:lang w:val="en-US"/>
        </w:rPr>
      </w:pPr>
    </w:p>
  </w:footnote>
  <w:footnote w:id="88">
    <w:p w:rsidR="00887C51" w:rsidRPr="006B3EAB" w:rsidRDefault="00887C51" w:rsidP="00887C51">
      <w:pPr>
        <w:pStyle w:val="FootnoteText"/>
        <w:ind w:left="-142" w:right="-563"/>
        <w:rPr>
          <w:sz w:val="20"/>
          <w:szCs w:val="20"/>
          <w:lang w:val="en-US"/>
        </w:rPr>
      </w:pPr>
      <w:r w:rsidRPr="006B3EAB">
        <w:rPr>
          <w:rStyle w:val="FootnoteReference"/>
        </w:rPr>
        <w:footnoteRef/>
      </w:r>
      <w:r w:rsidRPr="006B3EAB">
        <w:rPr>
          <w:sz w:val="20"/>
          <w:szCs w:val="20"/>
        </w:rPr>
        <w:t xml:space="preserve"> </w:t>
      </w:r>
      <w:r w:rsidRPr="006B3EAB">
        <w:rPr>
          <w:sz w:val="20"/>
          <w:szCs w:val="20"/>
          <w:lang w:val="en-US"/>
        </w:rPr>
        <w:t xml:space="preserve"> Christos Yannaros, </w:t>
      </w:r>
      <w:r w:rsidRPr="006B3EAB">
        <w:rPr>
          <w:i/>
          <w:iCs/>
          <w:sz w:val="20"/>
          <w:szCs w:val="20"/>
          <w:lang w:val="en-US"/>
        </w:rPr>
        <w:t xml:space="preserve">Postmodern Metaphysics  , </w:t>
      </w:r>
      <w:r w:rsidRPr="006B3EAB">
        <w:rPr>
          <w:sz w:val="20"/>
          <w:szCs w:val="20"/>
          <w:lang w:val="en-US"/>
        </w:rPr>
        <w:t>tr. Norman Russell , Brookline, MA: Holy Cross Orthodox Press, 2004.</w:t>
      </w:r>
    </w:p>
  </w:footnote>
  <w:footnote w:id="89">
    <w:p w:rsidR="00887C51" w:rsidRPr="006B3EAB" w:rsidRDefault="00887C51" w:rsidP="00887C51">
      <w:pPr>
        <w:pStyle w:val="FootnoteText"/>
        <w:ind w:left="-142" w:right="-563"/>
        <w:rPr>
          <w:sz w:val="20"/>
          <w:szCs w:val="20"/>
          <w:lang w:val="en-US"/>
        </w:rPr>
      </w:pPr>
      <w:r w:rsidRPr="006B3EAB">
        <w:rPr>
          <w:rStyle w:val="FootnoteReference"/>
        </w:rPr>
        <w:footnoteRef/>
      </w:r>
      <w:r w:rsidRPr="006B3EAB">
        <w:rPr>
          <w:sz w:val="20"/>
          <w:szCs w:val="20"/>
        </w:rPr>
        <w:t xml:space="preserve"> </w:t>
      </w:r>
      <w:r w:rsidRPr="006B3EAB">
        <w:rPr>
          <w:sz w:val="20"/>
          <w:szCs w:val="20"/>
          <w:lang w:val="en-US"/>
        </w:rPr>
        <w:t xml:space="preserve"> Christos Yannaros, </w:t>
      </w:r>
      <w:r w:rsidRPr="006B3EAB">
        <w:rPr>
          <w:i/>
          <w:iCs/>
          <w:sz w:val="20"/>
          <w:szCs w:val="20"/>
          <w:lang w:val="en-US"/>
        </w:rPr>
        <w:t xml:space="preserve">Postmodern Metaphysics, </w:t>
      </w:r>
      <w:r w:rsidRPr="006B3EAB">
        <w:rPr>
          <w:iCs/>
          <w:sz w:val="20"/>
          <w:szCs w:val="20"/>
          <w:lang w:val="en-US"/>
        </w:rPr>
        <w:t>p.</w:t>
      </w:r>
      <w:r w:rsidRPr="006B3EAB">
        <w:rPr>
          <w:sz w:val="20"/>
          <w:szCs w:val="20"/>
          <w:lang w:val="en-US"/>
        </w:rPr>
        <w:t>73-82.</w:t>
      </w:r>
    </w:p>
  </w:footnote>
  <w:footnote w:id="90">
    <w:p w:rsidR="00887C51" w:rsidRPr="006B3EAB" w:rsidRDefault="00887C51" w:rsidP="00887C51">
      <w:pPr>
        <w:pStyle w:val="FootnoteText"/>
        <w:ind w:left="-142" w:right="-563"/>
        <w:rPr>
          <w:sz w:val="20"/>
          <w:szCs w:val="20"/>
          <w:lang w:val="en-US"/>
        </w:rPr>
      </w:pPr>
      <w:r w:rsidRPr="006B3EAB">
        <w:rPr>
          <w:rStyle w:val="FootnoteReference"/>
        </w:rPr>
        <w:footnoteRef/>
      </w:r>
      <w:r w:rsidRPr="006B3EAB">
        <w:rPr>
          <w:sz w:val="20"/>
          <w:szCs w:val="20"/>
        </w:rPr>
        <w:t xml:space="preserve"> </w:t>
      </w:r>
      <w:r w:rsidRPr="006B3EAB">
        <w:rPr>
          <w:sz w:val="20"/>
          <w:szCs w:val="20"/>
          <w:lang w:val="en-US"/>
        </w:rPr>
        <w:t xml:space="preserve">Arthur Peacocke, </w:t>
      </w:r>
      <w:r w:rsidRPr="006B3EAB">
        <w:rPr>
          <w:i/>
          <w:iCs/>
          <w:sz w:val="20"/>
          <w:szCs w:val="20"/>
          <w:lang w:val="en-US"/>
        </w:rPr>
        <w:t>Paths from Science Towards God: The End of All Exploring Căi de la ṣtiinţă către Dumnezeu; Sfârṣitul tuturor explorărilor</w:t>
      </w:r>
      <w:r w:rsidRPr="006B3EAB">
        <w:rPr>
          <w:sz w:val="20"/>
          <w:szCs w:val="20"/>
          <w:lang w:val="en-US"/>
        </w:rPr>
        <w:t xml:space="preserve"> ( Oxford : Oneworld Publications, 2001); Arthur Peacocke, </w:t>
      </w:r>
      <w:r w:rsidRPr="006B3EAB">
        <w:rPr>
          <w:i/>
          <w:iCs/>
          <w:sz w:val="20"/>
          <w:szCs w:val="20"/>
          <w:lang w:val="en-US"/>
        </w:rPr>
        <w:t xml:space="preserve">Evolution: The Disguised Friend of Faith? </w:t>
      </w:r>
      <w:r w:rsidRPr="006B3EAB">
        <w:rPr>
          <w:sz w:val="20"/>
          <w:szCs w:val="20"/>
          <w:lang w:val="en-US"/>
        </w:rPr>
        <w:t xml:space="preserve">(Philadelphia: The Templeton Foundation, 2004); Arthur Peacocke, </w:t>
      </w:r>
      <w:r w:rsidRPr="006B3EAB">
        <w:rPr>
          <w:i/>
          <w:iCs/>
          <w:sz w:val="20"/>
          <w:szCs w:val="20"/>
          <w:lang w:val="en-US"/>
        </w:rPr>
        <w:t xml:space="preserve">Creation and the World of Science </w:t>
      </w:r>
      <w:r w:rsidRPr="006B3EAB">
        <w:rPr>
          <w:sz w:val="20"/>
          <w:szCs w:val="20"/>
          <w:lang w:val="en-US"/>
        </w:rPr>
        <w:t xml:space="preserve">(Oxford: Oxford University Press, 2004); Arthur Peacocke, </w:t>
      </w:r>
      <w:r w:rsidRPr="006B3EAB">
        <w:rPr>
          <w:i/>
          <w:iCs/>
          <w:sz w:val="20"/>
          <w:szCs w:val="20"/>
          <w:lang w:val="en-US"/>
        </w:rPr>
        <w:t xml:space="preserve">All That Is: A Naturalistic Faith for the Twenty-First Century </w:t>
      </w:r>
      <w:r w:rsidRPr="006B3EAB">
        <w:rPr>
          <w:sz w:val="20"/>
          <w:szCs w:val="20"/>
          <w:lang w:val="en-US"/>
        </w:rPr>
        <w:t xml:space="preserve">(Minneapolis: Fortress Press, 2007); Gayle E Woloschak, "Chance and Necessity in Peacocke s Scientific Work," </w:t>
      </w:r>
      <w:r w:rsidRPr="006B3EAB">
        <w:rPr>
          <w:i/>
          <w:iCs/>
          <w:sz w:val="20"/>
          <w:szCs w:val="20"/>
          <w:lang w:val="en-US"/>
        </w:rPr>
        <w:t xml:space="preserve">Zygon </w:t>
      </w:r>
      <w:r w:rsidRPr="006B3EAB">
        <w:rPr>
          <w:sz w:val="20"/>
          <w:szCs w:val="20"/>
          <w:lang w:val="en-US"/>
        </w:rPr>
        <w:t>43 (2007): 73-81.</w:t>
      </w:r>
    </w:p>
  </w:footnote>
  <w:footnote w:id="91">
    <w:p w:rsidR="00887C51" w:rsidRPr="006B3EAB" w:rsidRDefault="00887C51" w:rsidP="00887C51">
      <w:pPr>
        <w:pStyle w:val="FootnoteText"/>
        <w:ind w:left="-142" w:right="-563"/>
        <w:rPr>
          <w:sz w:val="20"/>
          <w:szCs w:val="20"/>
          <w:lang w:val="en-US"/>
        </w:rPr>
      </w:pPr>
      <w:r w:rsidRPr="006B3EAB">
        <w:rPr>
          <w:rStyle w:val="FootnoteReference"/>
        </w:rPr>
        <w:footnoteRef/>
      </w:r>
      <w:r w:rsidRPr="006B3EAB">
        <w:rPr>
          <w:sz w:val="20"/>
          <w:szCs w:val="20"/>
        </w:rPr>
        <w:t xml:space="preserve"> </w:t>
      </w:r>
      <w:r w:rsidRPr="006B3EAB">
        <w:rPr>
          <w:sz w:val="20"/>
          <w:szCs w:val="20"/>
          <w:lang w:val="en-US"/>
        </w:rPr>
        <w:t xml:space="preserve">Christos Yannaras, </w:t>
      </w:r>
      <w:r w:rsidRPr="006B3EAB">
        <w:rPr>
          <w:i/>
          <w:iCs/>
          <w:sz w:val="20"/>
          <w:szCs w:val="20"/>
          <w:lang w:val="en-US"/>
        </w:rPr>
        <w:t xml:space="preserve">Postmodern Metaphysics, op.cit., </w:t>
      </w:r>
      <w:r w:rsidRPr="006B3EAB">
        <w:rPr>
          <w:iCs/>
          <w:sz w:val="20"/>
          <w:szCs w:val="20"/>
          <w:lang w:val="en-US"/>
        </w:rPr>
        <w:t>p., 67.</w:t>
      </w:r>
    </w:p>
  </w:footnote>
  <w:footnote w:id="92">
    <w:p w:rsidR="00887C51" w:rsidRPr="006B3EAB" w:rsidRDefault="00887C51" w:rsidP="00887C51">
      <w:pPr>
        <w:pStyle w:val="FootnoteText"/>
        <w:ind w:left="-142" w:right="-563"/>
        <w:rPr>
          <w:sz w:val="20"/>
          <w:szCs w:val="20"/>
          <w:lang w:val="en-US"/>
        </w:rPr>
      </w:pPr>
      <w:r w:rsidRPr="006B3EAB">
        <w:rPr>
          <w:rStyle w:val="FootnoteReference"/>
        </w:rPr>
        <w:footnoteRef/>
      </w:r>
      <w:r w:rsidRPr="006B3EAB">
        <w:rPr>
          <w:sz w:val="20"/>
          <w:szCs w:val="20"/>
        </w:rPr>
        <w:t xml:space="preserve"> </w:t>
      </w:r>
      <w:r w:rsidRPr="006B3EAB">
        <w:rPr>
          <w:sz w:val="20"/>
          <w:szCs w:val="20"/>
          <w:lang w:val="en-US"/>
        </w:rPr>
        <w:t xml:space="preserve">Christos Yannaras, </w:t>
      </w:r>
      <w:r w:rsidRPr="006B3EAB">
        <w:rPr>
          <w:i/>
          <w:iCs/>
          <w:sz w:val="20"/>
          <w:szCs w:val="20"/>
          <w:lang w:val="en-US"/>
        </w:rPr>
        <w:t xml:space="preserve">The Freedom of Morality \(Crestwood, </w:t>
      </w:r>
      <w:r w:rsidRPr="006B3EAB">
        <w:rPr>
          <w:sz w:val="20"/>
          <w:szCs w:val="20"/>
          <w:lang w:val="en-US"/>
        </w:rPr>
        <w:t xml:space="preserve">NY: SVS Press 1984); Christos Yannaras, </w:t>
      </w:r>
      <w:r w:rsidRPr="006B3EAB">
        <w:rPr>
          <w:i/>
          <w:iCs/>
          <w:sz w:val="20"/>
          <w:szCs w:val="20"/>
          <w:lang w:val="en-US"/>
        </w:rPr>
        <w:t xml:space="preserve">Elements of Faith: An Introduction to Orthodox Theology </w:t>
      </w:r>
      <w:r w:rsidRPr="006B3EAB">
        <w:rPr>
          <w:sz w:val="20"/>
          <w:szCs w:val="20"/>
          <w:lang w:val="en-US"/>
        </w:rPr>
        <w:t xml:space="preserve">(Edinburgh: T&amp;T Clark Ltd., 1991; Christos Yannaras, "The Church: A Mode of Being That Can Conquer Death," </w:t>
      </w:r>
      <w:r w:rsidRPr="006B3EAB">
        <w:rPr>
          <w:i/>
          <w:iCs/>
          <w:sz w:val="20"/>
          <w:szCs w:val="20"/>
          <w:lang w:val="en-US"/>
        </w:rPr>
        <w:t xml:space="preserve">Service orthodoxe depresse </w:t>
      </w:r>
      <w:r w:rsidRPr="006B3EAB">
        <w:rPr>
          <w:sz w:val="20"/>
          <w:szCs w:val="20"/>
          <w:lang w:val="en-US"/>
        </w:rPr>
        <w:t xml:space="preserve">169 (1992): 25; Christos Yannaras, </w:t>
      </w:r>
      <w:r w:rsidRPr="006B3EAB">
        <w:rPr>
          <w:i/>
          <w:iCs/>
          <w:sz w:val="20"/>
          <w:szCs w:val="20"/>
          <w:lang w:val="en-US"/>
        </w:rPr>
        <w:t xml:space="preserve">On the Absence and Unknowability of God: Heidegger and the Areaopagite </w:t>
      </w:r>
      <w:r w:rsidRPr="006B3EAB">
        <w:rPr>
          <w:sz w:val="20"/>
          <w:szCs w:val="20"/>
          <w:lang w:val="en-US"/>
        </w:rPr>
        <w:t>(London: T&amp;T Clark International, 2002).</w:t>
      </w:r>
    </w:p>
  </w:footnote>
  <w:footnote w:id="93">
    <w:p w:rsidR="00887C51" w:rsidRPr="006B3EAB" w:rsidRDefault="00887C51" w:rsidP="00887C51">
      <w:pPr>
        <w:pStyle w:val="FootnoteText"/>
        <w:ind w:left="-142" w:right="-563"/>
        <w:rPr>
          <w:sz w:val="20"/>
          <w:szCs w:val="20"/>
        </w:rPr>
      </w:pPr>
      <w:r w:rsidRPr="006B3EAB">
        <w:rPr>
          <w:rStyle w:val="FootnoteReference"/>
        </w:rPr>
        <w:footnoteRef/>
      </w:r>
      <w:r w:rsidRPr="006B3EAB">
        <w:rPr>
          <w:color w:val="000000"/>
          <w:spacing w:val="2"/>
          <w:sz w:val="20"/>
          <w:szCs w:val="20"/>
          <w:lang w:eastAsia="ro-RO"/>
        </w:rPr>
        <w:t>Gayl</w:t>
      </w:r>
      <w:r w:rsidRPr="006B3EAB">
        <w:rPr>
          <w:color w:val="000000"/>
          <w:sz w:val="20"/>
          <w:szCs w:val="20"/>
          <w:lang w:eastAsia="ro-RO"/>
        </w:rPr>
        <w:t>e</w:t>
      </w:r>
      <w:r w:rsidRPr="006B3EAB">
        <w:rPr>
          <w:color w:val="000000"/>
          <w:spacing w:val="7"/>
          <w:sz w:val="20"/>
          <w:szCs w:val="20"/>
          <w:lang w:eastAsia="ro-RO"/>
        </w:rPr>
        <w:t xml:space="preserve"> E</w:t>
      </w:r>
      <w:r w:rsidRPr="006B3EAB">
        <w:rPr>
          <w:color w:val="000000"/>
          <w:sz w:val="20"/>
          <w:szCs w:val="20"/>
          <w:lang w:eastAsia="ro-RO"/>
        </w:rPr>
        <w:t>.</w:t>
      </w:r>
      <w:r w:rsidRPr="006B3EAB">
        <w:rPr>
          <w:color w:val="000000"/>
          <w:spacing w:val="9"/>
          <w:sz w:val="20"/>
          <w:szCs w:val="20"/>
          <w:lang w:eastAsia="ro-RO"/>
        </w:rPr>
        <w:t xml:space="preserve"> Woloscha</w:t>
      </w:r>
      <w:r w:rsidRPr="006B3EAB">
        <w:rPr>
          <w:color w:val="000000"/>
          <w:sz w:val="20"/>
          <w:szCs w:val="20"/>
          <w:lang w:eastAsia="ro-RO"/>
        </w:rPr>
        <w:t xml:space="preserve">k, </w:t>
      </w:r>
      <w:r w:rsidRPr="006B3EAB">
        <w:rPr>
          <w:color w:val="000000"/>
          <w:sz w:val="20"/>
          <w:szCs w:val="20"/>
          <w:shd w:val="clear" w:color="auto" w:fill="FFFFFF"/>
        </w:rPr>
        <w:t xml:space="preserve">„The compatibility (...), </w:t>
      </w:r>
      <w:r w:rsidRPr="006B3EAB">
        <w:rPr>
          <w:i/>
          <w:color w:val="000000"/>
          <w:sz w:val="20"/>
          <w:szCs w:val="20"/>
          <w:lang w:eastAsia="ro-RO"/>
        </w:rPr>
        <w:t>op.cit</w:t>
      </w:r>
      <w:r w:rsidRPr="006B3EAB">
        <w:rPr>
          <w:color w:val="000000"/>
          <w:sz w:val="20"/>
          <w:szCs w:val="20"/>
          <w:lang w:eastAsia="ro-RO"/>
        </w:rPr>
        <w:t>., p.217</w:t>
      </w:r>
      <w:r w:rsidRPr="006B3EAB">
        <w:rPr>
          <w:sz w:val="20"/>
          <w:szCs w:val="20"/>
        </w:rPr>
        <w:t xml:space="preserve"> </w:t>
      </w:r>
    </w:p>
  </w:footnote>
  <w:footnote w:id="94">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i/>
          <w:sz w:val="20"/>
          <w:szCs w:val="20"/>
        </w:rPr>
        <w:t>Proiectul Genomul Uman</w:t>
      </w:r>
      <w:r w:rsidRPr="006B3EAB">
        <w:rPr>
          <w:sz w:val="20"/>
          <w:szCs w:val="20"/>
        </w:rPr>
        <w:t xml:space="preserve"> a fost inițiat de Statele Unite, fiind finanțat prin două agenții, National Insititutes of Health și Departament of Energy. Scopul era obținerea succesiunii complete a unui genom uman în 15 ani, la un cost aproximativ de 3 miliarde de dolari, revenind un dolar pentru ficare lieră a ADN-ului. O parte a secvenței genomului a fost completată înainte de termen, în aul 2001, iar în 2003, proiectul s-a încheiat cu succes, F.Ayala, </w:t>
      </w:r>
      <w:r w:rsidRPr="006B3EAB">
        <w:rPr>
          <w:i/>
          <w:sz w:val="20"/>
          <w:szCs w:val="20"/>
        </w:rPr>
        <w:t>op.cit.,</w:t>
      </w:r>
      <w:r w:rsidRPr="006B3EAB">
        <w:rPr>
          <w:sz w:val="20"/>
          <w:szCs w:val="20"/>
        </w:rPr>
        <w:t xml:space="preserve"> p.133 </w:t>
      </w:r>
    </w:p>
  </w:footnote>
  <w:footnote w:id="95">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Francis S.Collins, </w:t>
      </w:r>
      <w:r w:rsidRPr="006B3EAB">
        <w:rPr>
          <w:i/>
          <w:sz w:val="20"/>
          <w:szCs w:val="20"/>
        </w:rPr>
        <w:t xml:space="preserve">Limbajul lui Dumnezeu. Un om de știință aduce dovezi în spijinul credinței, </w:t>
      </w:r>
      <w:r w:rsidRPr="006B3EAB">
        <w:rPr>
          <w:sz w:val="20"/>
          <w:szCs w:val="20"/>
        </w:rPr>
        <w:t>Editura Curtea Veche, București, 2009, 307p.</w:t>
      </w:r>
    </w:p>
  </w:footnote>
  <w:footnote w:id="96">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V. de ex: https://www.youtube.com/watch?v=fWJWmS1sWUY</w:t>
      </w:r>
    </w:p>
  </w:footnote>
  <w:footnote w:id="97">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AYALA       op,.cit p.132-133</w:t>
      </w:r>
    </w:p>
  </w:footnote>
  <w:footnote w:id="98">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Francis S.Collins, </w:t>
      </w:r>
      <w:r w:rsidRPr="006B3EAB">
        <w:rPr>
          <w:i/>
          <w:sz w:val="20"/>
          <w:szCs w:val="20"/>
        </w:rPr>
        <w:t>op. cit</w:t>
      </w:r>
      <w:r w:rsidRPr="006B3EAB">
        <w:rPr>
          <w:sz w:val="20"/>
          <w:szCs w:val="20"/>
        </w:rPr>
        <w:t>, p.7</w:t>
      </w:r>
    </w:p>
  </w:footnote>
  <w:footnote w:id="99">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Ibidem, p. 8</w:t>
      </w:r>
    </w:p>
  </w:footnote>
  <w:footnote w:id="100">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Ibidem, p.9</w:t>
      </w:r>
    </w:p>
  </w:footnote>
  <w:footnote w:id="101">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F.Collins, </w:t>
      </w:r>
      <w:r w:rsidRPr="006B3EAB">
        <w:rPr>
          <w:i/>
          <w:sz w:val="20"/>
          <w:szCs w:val="20"/>
        </w:rPr>
        <w:t>op.cit</w:t>
      </w:r>
      <w:r w:rsidRPr="006B3EAB">
        <w:rPr>
          <w:sz w:val="20"/>
          <w:szCs w:val="20"/>
        </w:rPr>
        <w:t>, p.210</w:t>
      </w:r>
    </w:p>
  </w:footnote>
  <w:footnote w:id="102">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Ibidem, p.212</w:t>
      </w:r>
    </w:p>
  </w:footnote>
  <w:footnote w:id="103">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Pap Ioan Paul al II-lea, „Mesaj adresat Academiei Pontificale a Științelor: Despre evoluție”, 22 0ct.1996, </w:t>
      </w:r>
      <w:r w:rsidRPr="006B3EAB">
        <w:rPr>
          <w:i/>
          <w:sz w:val="20"/>
          <w:szCs w:val="20"/>
        </w:rPr>
        <w:t xml:space="preserve">apud, </w:t>
      </w:r>
      <w:r w:rsidRPr="006B3EAB">
        <w:rPr>
          <w:sz w:val="20"/>
          <w:szCs w:val="20"/>
        </w:rPr>
        <w:t xml:space="preserve">F.Ayala, </w:t>
      </w:r>
      <w:r w:rsidRPr="006B3EAB">
        <w:rPr>
          <w:i/>
          <w:sz w:val="20"/>
          <w:szCs w:val="20"/>
        </w:rPr>
        <w:t>op.cit.,</w:t>
      </w:r>
      <w:r w:rsidRPr="006B3EAB">
        <w:rPr>
          <w:sz w:val="20"/>
          <w:szCs w:val="20"/>
        </w:rPr>
        <w:t>p.212</w:t>
      </w:r>
    </w:p>
  </w:footnote>
  <w:footnote w:id="104">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F.Ayala, </w:t>
      </w:r>
      <w:r w:rsidRPr="006B3EAB">
        <w:rPr>
          <w:i/>
          <w:sz w:val="20"/>
          <w:szCs w:val="20"/>
        </w:rPr>
        <w:t>op.cit.,</w:t>
      </w:r>
      <w:r w:rsidRPr="006B3EAB">
        <w:rPr>
          <w:sz w:val="20"/>
          <w:szCs w:val="20"/>
        </w:rPr>
        <w:t>p.10</w:t>
      </w:r>
    </w:p>
  </w:footnote>
  <w:footnote w:id="105">
    <w:p w:rsidR="00887C51" w:rsidRPr="006B3EAB" w:rsidRDefault="00887C51" w:rsidP="00887C51">
      <w:pPr>
        <w:pStyle w:val="FootnoteText"/>
        <w:ind w:left="-142"/>
        <w:rPr>
          <w:sz w:val="20"/>
          <w:szCs w:val="20"/>
        </w:rPr>
      </w:pPr>
      <w:r w:rsidRPr="006B3EAB">
        <w:rPr>
          <w:rStyle w:val="FootnoteReference"/>
        </w:rPr>
        <w:footnoteRef/>
      </w:r>
      <w:r w:rsidRPr="006B3EAB">
        <w:rPr>
          <w:sz w:val="20"/>
          <w:szCs w:val="20"/>
        </w:rPr>
        <w:t xml:space="preserve"> A se vedea recentul atac din Texas, unde 26 de oameni au fost omorâti în biserică, în timpul slujbei: http://stirileprotv.ro/stiri/international/atac-armat-in-sua-26-de-morc-i-guvernator-texas-zcea-mai-mare-crima-in-masa.html</w:t>
      </w:r>
    </w:p>
  </w:footnote>
  <w:footnote w:id="106">
    <w:p w:rsidR="00887C51" w:rsidRPr="006B3EAB" w:rsidRDefault="00887C51" w:rsidP="00887C51">
      <w:pPr>
        <w:pStyle w:val="Title"/>
        <w:jc w:val="left"/>
        <w:rPr>
          <w:b w:val="0"/>
          <w:sz w:val="20"/>
          <w:szCs w:val="20"/>
        </w:rPr>
      </w:pPr>
      <w:r w:rsidRPr="006B3EAB">
        <w:rPr>
          <w:rStyle w:val="FootnoteReference"/>
          <w:b w:val="0"/>
        </w:rPr>
        <w:footnoteRef/>
      </w:r>
      <w:r w:rsidRPr="006B3EAB">
        <w:rPr>
          <w:b w:val="0"/>
          <w:sz w:val="20"/>
          <w:szCs w:val="20"/>
        </w:rPr>
        <w:t>A se vedea documentul CEB: „Misiunea ca slujire a  reconcilierii”, tr. rm. Pr Nicolae Moșoiu, pe  http://ecum.ro/wp-content/uploads/2016/12/Misiunea-Bisericii-si-Ecumenismul.pdf</w:t>
      </w:r>
      <w:r w:rsidRPr="006B3EAB">
        <w:rPr>
          <w:rStyle w:val="FootnoteReference"/>
          <w:b w:val="0"/>
        </w:rPr>
        <w:t xml:space="preserve"> </w:t>
      </w:r>
      <w:r w:rsidRPr="006B3EAB">
        <w:rPr>
          <w:b w:val="0"/>
          <w:sz w:val="20"/>
          <w:szCs w:val="20"/>
        </w:rPr>
        <w:t xml:space="preserve"> p.196-226</w:t>
      </w:r>
      <w:r w:rsidRPr="006B3EAB">
        <w:rPr>
          <w:b w:val="0"/>
          <w:sz w:val="20"/>
          <w:szCs w:val="20"/>
        </w:rPr>
        <w:tab/>
      </w:r>
    </w:p>
  </w:footnote>
  <w:footnote w:id="107">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F.Ayala, </w:t>
      </w:r>
      <w:r w:rsidRPr="006B3EAB">
        <w:rPr>
          <w:i/>
          <w:sz w:val="20"/>
          <w:szCs w:val="20"/>
        </w:rPr>
        <w:t>op.cit.,</w:t>
      </w:r>
      <w:r w:rsidRPr="006B3EAB">
        <w:rPr>
          <w:sz w:val="20"/>
          <w:szCs w:val="20"/>
        </w:rPr>
        <w:t>p.134</w:t>
      </w:r>
    </w:p>
  </w:footnote>
  <w:footnote w:id="108">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i/>
          <w:sz w:val="20"/>
          <w:szCs w:val="20"/>
        </w:rPr>
        <w:t>Ibidem</w:t>
      </w:r>
      <w:r w:rsidRPr="006B3EAB">
        <w:rPr>
          <w:sz w:val="20"/>
          <w:szCs w:val="20"/>
        </w:rPr>
        <w:t xml:space="preserve"> , p.23-24</w:t>
      </w:r>
    </w:p>
  </w:footnote>
  <w:footnote w:id="109">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Este interesant că pepenele, norul și meduza conțin aproape 99% apă, dar ce mult înseamnă diferența de un procent între cele trei menționate!</w:t>
      </w:r>
    </w:p>
  </w:footnote>
  <w:footnote w:id="110">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Francisco J.Ayala, </w:t>
      </w:r>
      <w:r w:rsidRPr="006B3EAB">
        <w:rPr>
          <w:i/>
          <w:sz w:val="20"/>
          <w:szCs w:val="20"/>
        </w:rPr>
        <w:t>op.cit</w:t>
      </w:r>
      <w:r w:rsidRPr="006B3EAB">
        <w:rPr>
          <w:sz w:val="20"/>
          <w:szCs w:val="20"/>
        </w:rPr>
        <w:t>., p.135</w:t>
      </w:r>
    </w:p>
  </w:footnote>
  <w:footnote w:id="111">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i/>
          <w:sz w:val="20"/>
          <w:szCs w:val="20"/>
        </w:rPr>
        <w:t>Ibidem</w:t>
      </w:r>
    </w:p>
  </w:footnote>
  <w:footnote w:id="112">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i/>
          <w:sz w:val="20"/>
          <w:szCs w:val="20"/>
        </w:rPr>
        <w:t>Ibidem</w:t>
      </w:r>
      <w:r w:rsidRPr="006B3EAB">
        <w:rPr>
          <w:sz w:val="20"/>
          <w:szCs w:val="20"/>
        </w:rPr>
        <w:t>, p.24</w:t>
      </w:r>
    </w:p>
  </w:footnote>
  <w:footnote w:id="113">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i/>
          <w:sz w:val="20"/>
          <w:szCs w:val="20"/>
        </w:rPr>
        <w:t>Ibidem</w:t>
      </w:r>
      <w:r w:rsidRPr="006B3EAB">
        <w:rPr>
          <w:sz w:val="20"/>
          <w:szCs w:val="20"/>
        </w:rPr>
        <w:t>, p.143</w:t>
      </w:r>
    </w:p>
  </w:footnote>
  <w:footnote w:id="114">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Astfel de  informații sunt date și pe site-uri de popularizare cum ar fi:  http://www.sfatulmedicului.ro/Mituri-Medicale/6-mituri-despre-creierul-uman_7701</w:t>
      </w:r>
    </w:p>
  </w:footnote>
  <w:footnote w:id="115">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Francisco J.Ayala, </w:t>
      </w:r>
      <w:r w:rsidRPr="006B3EAB">
        <w:rPr>
          <w:i/>
          <w:sz w:val="20"/>
          <w:szCs w:val="20"/>
        </w:rPr>
        <w:t>op.cit</w:t>
      </w:r>
      <w:r w:rsidRPr="006B3EAB">
        <w:rPr>
          <w:sz w:val="20"/>
          <w:szCs w:val="20"/>
        </w:rPr>
        <w:t>., p.219</w:t>
      </w:r>
    </w:p>
  </w:footnote>
  <w:footnote w:id="116">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Denis Alexander, </w:t>
      </w:r>
      <w:r w:rsidRPr="006B3EAB">
        <w:rPr>
          <w:i/>
          <w:sz w:val="20"/>
          <w:szCs w:val="20"/>
        </w:rPr>
        <w:t>Creație sau evoluție.Trebuie să alegem?</w:t>
      </w:r>
      <w:r w:rsidRPr="006B3EAB">
        <w:rPr>
          <w:sz w:val="20"/>
          <w:szCs w:val="20"/>
        </w:rPr>
        <w:t>, Editura Curtea Veche, București, 2010, 416p.</w:t>
      </w:r>
    </w:p>
    <w:p w:rsidR="00887C51" w:rsidRPr="006B3EAB" w:rsidRDefault="00887C51" w:rsidP="00887C51">
      <w:pPr>
        <w:pStyle w:val="FootnoteText"/>
        <w:ind w:left="-142" w:right="-563"/>
        <w:rPr>
          <w:sz w:val="20"/>
          <w:szCs w:val="20"/>
        </w:rPr>
      </w:pPr>
    </w:p>
  </w:footnote>
  <w:footnote w:id="117">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i/>
          <w:sz w:val="20"/>
          <w:szCs w:val="20"/>
        </w:rPr>
        <w:t>Ibidem</w:t>
      </w:r>
      <w:r w:rsidRPr="006B3EAB">
        <w:rPr>
          <w:sz w:val="20"/>
          <w:szCs w:val="20"/>
        </w:rPr>
        <w:t>, p.264</w:t>
      </w:r>
    </w:p>
  </w:footnote>
  <w:footnote w:id="118">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i/>
          <w:sz w:val="20"/>
          <w:szCs w:val="20"/>
        </w:rPr>
        <w:t>Ibidem</w:t>
      </w:r>
      <w:r w:rsidRPr="006B3EAB">
        <w:rPr>
          <w:sz w:val="20"/>
          <w:szCs w:val="20"/>
        </w:rPr>
        <w:t>, p.265-270</w:t>
      </w:r>
    </w:p>
  </w:footnote>
  <w:footnote w:id="119">
    <w:p w:rsidR="00887C51" w:rsidRDefault="00887C51" w:rsidP="00887C51">
      <w:pPr>
        <w:pStyle w:val="FootnoteText"/>
      </w:pPr>
      <w:r>
        <w:rPr>
          <w:rStyle w:val="FootnoteReference"/>
        </w:rPr>
        <w:footnoteRef/>
      </w:r>
      <w:r>
        <w:t xml:space="preserve"> Ibidem, p.267-268</w:t>
      </w:r>
    </w:p>
  </w:footnote>
  <w:footnote w:id="120">
    <w:p w:rsidR="00887C51" w:rsidRDefault="00887C51" w:rsidP="00887C51">
      <w:pPr>
        <w:pStyle w:val="FootnoteText"/>
        <w:ind w:left="-142" w:firstLine="0"/>
      </w:pPr>
      <w:r>
        <w:rPr>
          <w:rStyle w:val="FootnoteReference"/>
        </w:rPr>
        <w:footnoteRef/>
      </w:r>
      <w:r>
        <w:t xml:space="preserve"> I</w:t>
      </w:r>
      <w:r>
        <w:rPr>
          <w:sz w:val="20"/>
          <w:szCs w:val="20"/>
          <w:lang w:val="en-US"/>
        </w:rPr>
        <w:t xml:space="preserve">eromonahul Serafime Rose, </w:t>
      </w:r>
      <w:r w:rsidRPr="006B3EAB">
        <w:rPr>
          <w:i/>
          <w:sz w:val="20"/>
          <w:szCs w:val="20"/>
          <w:lang w:val="en-US"/>
        </w:rPr>
        <w:t>Cartea Facerii, crearea lumii și a întâiului om. Perspectivă creștin-ortodoxă</w:t>
      </w:r>
      <w:r w:rsidRPr="006B3EAB">
        <w:rPr>
          <w:sz w:val="20"/>
          <w:szCs w:val="20"/>
          <w:lang w:val="en-US"/>
        </w:rPr>
        <w:t>, Editura Sofia, București, 2011, p.</w:t>
      </w:r>
      <w:r>
        <w:rPr>
          <w:sz w:val="20"/>
          <w:szCs w:val="20"/>
          <w:lang w:val="en-US"/>
        </w:rPr>
        <w:t xml:space="preserve"> 204</w:t>
      </w:r>
    </w:p>
  </w:footnote>
  <w:footnote w:id="121">
    <w:p w:rsidR="00887C51" w:rsidRDefault="00887C51" w:rsidP="00887C51">
      <w:pPr>
        <w:pStyle w:val="FootnoteText"/>
        <w:ind w:left="-142"/>
      </w:pPr>
      <w:r>
        <w:rPr>
          <w:rStyle w:val="FootnoteReference"/>
        </w:rPr>
        <w:footnoteRef/>
      </w:r>
      <w:r>
        <w:t xml:space="preserve"> </w:t>
      </w:r>
      <w:r w:rsidRPr="00D314A5">
        <w:rPr>
          <w:i/>
        </w:rPr>
        <w:t>Ibidem</w:t>
      </w:r>
    </w:p>
  </w:footnote>
  <w:footnote w:id="122">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Mircea Eliade, </w:t>
      </w:r>
      <w:r w:rsidRPr="006B3EAB">
        <w:rPr>
          <w:i/>
          <w:sz w:val="20"/>
          <w:szCs w:val="20"/>
        </w:rPr>
        <w:t>La Nostalgie des Origines</w:t>
      </w:r>
      <w:r w:rsidRPr="006B3EAB">
        <w:rPr>
          <w:sz w:val="20"/>
          <w:szCs w:val="20"/>
        </w:rPr>
        <w:t xml:space="preserve">, 1969, pp.7 sq., cit. în: Idem., </w:t>
      </w:r>
      <w:r w:rsidRPr="006B3EAB">
        <w:rPr>
          <w:i/>
          <w:sz w:val="20"/>
          <w:szCs w:val="20"/>
        </w:rPr>
        <w:t>Istoria credinţelor şi ideilor religioase</w:t>
      </w:r>
      <w:r w:rsidRPr="006B3EAB">
        <w:rPr>
          <w:sz w:val="20"/>
          <w:szCs w:val="20"/>
        </w:rPr>
        <w:t>,vol. I, t.r. Cezar Baltag, Editura ştiinţifică şi enciclopedică, Bucureşti, 1981, p. IX.</w:t>
      </w:r>
    </w:p>
  </w:footnote>
  <w:footnote w:id="123">
    <w:p w:rsidR="00887C51" w:rsidRPr="006B3EAB" w:rsidRDefault="00887C51" w:rsidP="00887C51">
      <w:pPr>
        <w:pStyle w:val="FootnoteText"/>
        <w:ind w:left="-142" w:right="-563"/>
        <w:rPr>
          <w:sz w:val="20"/>
          <w:szCs w:val="20"/>
        </w:rPr>
      </w:pPr>
      <w:r w:rsidRPr="006B3EAB">
        <w:rPr>
          <w:rStyle w:val="FootnoteReference"/>
        </w:rPr>
        <w:footnoteRef/>
      </w:r>
      <w:r w:rsidRPr="006B3EAB">
        <w:rPr>
          <w:sz w:val="20"/>
          <w:szCs w:val="20"/>
        </w:rPr>
        <w:t xml:space="preserve">  </w:t>
      </w:r>
      <w:r w:rsidRPr="006B3EAB">
        <w:rPr>
          <w:i/>
          <w:sz w:val="20"/>
          <w:szCs w:val="20"/>
        </w:rPr>
        <w:t>Ibidem</w:t>
      </w:r>
    </w:p>
  </w:footnote>
  <w:footnote w:id="124">
    <w:p w:rsidR="00887C51" w:rsidRDefault="00887C51" w:rsidP="00887C51">
      <w:pPr>
        <w:pStyle w:val="FootnoteText"/>
        <w:ind w:left="-142"/>
        <w:rPr>
          <w:sz w:val="20"/>
        </w:rPr>
      </w:pPr>
      <w:r>
        <w:rPr>
          <w:rStyle w:val="FootnoteReference"/>
        </w:rPr>
        <w:footnoteRef/>
      </w:r>
      <w:r>
        <w:rPr>
          <w:sz w:val="20"/>
        </w:rPr>
        <w:t xml:space="preserve">Sfântul Maximm Mărturisitorul,  </w:t>
      </w:r>
      <w:r>
        <w:rPr>
          <w:i/>
          <w:sz w:val="20"/>
        </w:rPr>
        <w:t>Ambigua</w:t>
      </w:r>
      <w:r>
        <w:rPr>
          <w:sz w:val="20"/>
        </w:rPr>
        <w:t>, PSB 80, EIB,1983, p.89</w:t>
      </w:r>
    </w:p>
  </w:footnote>
  <w:footnote w:id="125">
    <w:p w:rsidR="00887C51" w:rsidRDefault="00887C51" w:rsidP="00887C51">
      <w:pPr>
        <w:pStyle w:val="FootnoteText"/>
        <w:ind w:left="-142"/>
        <w:rPr>
          <w:sz w:val="20"/>
        </w:rPr>
      </w:pPr>
      <w:r>
        <w:rPr>
          <w:rStyle w:val="FootnoteReference"/>
        </w:rPr>
        <w:footnoteRef/>
      </w:r>
      <w:r>
        <w:rPr>
          <w:sz w:val="20"/>
        </w:rPr>
        <w:t xml:space="preserve"> Lars Thunberg, </w:t>
      </w:r>
      <w:r>
        <w:rPr>
          <w:i/>
          <w:sz w:val="20"/>
        </w:rPr>
        <w:t>Man and the Cosmos - The Vision of St. Maximus the Confessor,</w:t>
      </w:r>
      <w:r>
        <w:rPr>
          <w:sz w:val="20"/>
        </w:rPr>
        <w:t xml:space="preserve"> St.Vladimir’s Seminary Press, Crestwood, New York, 1985, p. 47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3570E"/>
    <w:multiLevelType w:val="multilevel"/>
    <w:tmpl w:val="16C86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9664219"/>
    <w:multiLevelType w:val="hybridMultilevel"/>
    <w:tmpl w:val="35463FCE"/>
    <w:lvl w:ilvl="0" w:tplc="FEFC9276">
      <w:start w:val="1"/>
      <w:numFmt w:val="decimal"/>
      <w:lvlText w:val="%1."/>
      <w:lvlJc w:val="left"/>
      <w:pPr>
        <w:ind w:left="747" w:hanging="360"/>
      </w:pPr>
      <w:rPr>
        <w:rFonts w:hint="default"/>
      </w:rPr>
    </w:lvl>
    <w:lvl w:ilvl="1" w:tplc="04180019" w:tentative="1">
      <w:start w:val="1"/>
      <w:numFmt w:val="lowerLetter"/>
      <w:lvlText w:val="%2."/>
      <w:lvlJc w:val="left"/>
      <w:pPr>
        <w:ind w:left="1467" w:hanging="360"/>
      </w:pPr>
    </w:lvl>
    <w:lvl w:ilvl="2" w:tplc="0418001B" w:tentative="1">
      <w:start w:val="1"/>
      <w:numFmt w:val="lowerRoman"/>
      <w:lvlText w:val="%3."/>
      <w:lvlJc w:val="right"/>
      <w:pPr>
        <w:ind w:left="2187" w:hanging="180"/>
      </w:pPr>
    </w:lvl>
    <w:lvl w:ilvl="3" w:tplc="0418000F" w:tentative="1">
      <w:start w:val="1"/>
      <w:numFmt w:val="decimal"/>
      <w:lvlText w:val="%4."/>
      <w:lvlJc w:val="left"/>
      <w:pPr>
        <w:ind w:left="2907" w:hanging="360"/>
      </w:pPr>
    </w:lvl>
    <w:lvl w:ilvl="4" w:tplc="04180019" w:tentative="1">
      <w:start w:val="1"/>
      <w:numFmt w:val="lowerLetter"/>
      <w:lvlText w:val="%5."/>
      <w:lvlJc w:val="left"/>
      <w:pPr>
        <w:ind w:left="3627" w:hanging="360"/>
      </w:pPr>
    </w:lvl>
    <w:lvl w:ilvl="5" w:tplc="0418001B" w:tentative="1">
      <w:start w:val="1"/>
      <w:numFmt w:val="lowerRoman"/>
      <w:lvlText w:val="%6."/>
      <w:lvlJc w:val="right"/>
      <w:pPr>
        <w:ind w:left="4347" w:hanging="180"/>
      </w:pPr>
    </w:lvl>
    <w:lvl w:ilvl="6" w:tplc="0418000F" w:tentative="1">
      <w:start w:val="1"/>
      <w:numFmt w:val="decimal"/>
      <w:lvlText w:val="%7."/>
      <w:lvlJc w:val="left"/>
      <w:pPr>
        <w:ind w:left="5067" w:hanging="360"/>
      </w:pPr>
    </w:lvl>
    <w:lvl w:ilvl="7" w:tplc="04180019" w:tentative="1">
      <w:start w:val="1"/>
      <w:numFmt w:val="lowerLetter"/>
      <w:lvlText w:val="%8."/>
      <w:lvlJc w:val="left"/>
      <w:pPr>
        <w:ind w:left="5787" w:hanging="360"/>
      </w:pPr>
    </w:lvl>
    <w:lvl w:ilvl="8" w:tplc="0418001B" w:tentative="1">
      <w:start w:val="1"/>
      <w:numFmt w:val="lowerRoman"/>
      <w:lvlText w:val="%9."/>
      <w:lvlJc w:val="right"/>
      <w:pPr>
        <w:ind w:left="6507" w:hanging="180"/>
      </w:pPr>
    </w:lvl>
  </w:abstractNum>
  <w:abstractNum w:abstractNumId="2">
    <w:nsid w:val="16A45691"/>
    <w:multiLevelType w:val="hybridMultilevel"/>
    <w:tmpl w:val="B0343D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5AB0CA1"/>
    <w:multiLevelType w:val="hybridMultilevel"/>
    <w:tmpl w:val="399EEB84"/>
    <w:lvl w:ilvl="0" w:tplc="D960CF02">
      <w:start w:val="1"/>
      <w:numFmt w:val="decimal"/>
      <w:lvlText w:val="[%1]"/>
      <w:lvlJc w:val="left"/>
      <w:pPr>
        <w:tabs>
          <w:tab w:val="num" w:pos="786"/>
        </w:tabs>
        <w:ind w:left="786" w:hanging="360"/>
      </w:pPr>
      <w:rPr>
        <w:rFonts w:hint="default"/>
        <w:i w:val="0"/>
        <w:color w:val="auto"/>
      </w:rPr>
    </w:lvl>
    <w:lvl w:ilvl="1" w:tplc="04090019">
      <w:start w:val="1"/>
      <w:numFmt w:val="lowerLetter"/>
      <w:lvlText w:val="%2."/>
      <w:lvlJc w:val="left"/>
      <w:pPr>
        <w:tabs>
          <w:tab w:val="num" w:pos="1866"/>
        </w:tabs>
        <w:ind w:left="1866" w:hanging="360"/>
      </w:pPr>
    </w:lvl>
    <w:lvl w:ilvl="2" w:tplc="0409001B" w:tentative="1">
      <w:start w:val="1"/>
      <w:numFmt w:val="lowerRoman"/>
      <w:lvlText w:val="%3."/>
      <w:lvlJc w:val="right"/>
      <w:pPr>
        <w:tabs>
          <w:tab w:val="num" w:pos="2586"/>
        </w:tabs>
        <w:ind w:left="2586" w:hanging="180"/>
      </w:pPr>
    </w:lvl>
    <w:lvl w:ilvl="3" w:tplc="0409000F" w:tentative="1">
      <w:start w:val="1"/>
      <w:numFmt w:val="decimal"/>
      <w:lvlText w:val="%4."/>
      <w:lvlJc w:val="left"/>
      <w:pPr>
        <w:tabs>
          <w:tab w:val="num" w:pos="3306"/>
        </w:tabs>
        <w:ind w:left="3306" w:hanging="360"/>
      </w:pPr>
    </w:lvl>
    <w:lvl w:ilvl="4" w:tplc="04090019" w:tentative="1">
      <w:start w:val="1"/>
      <w:numFmt w:val="lowerLetter"/>
      <w:lvlText w:val="%5."/>
      <w:lvlJc w:val="left"/>
      <w:pPr>
        <w:tabs>
          <w:tab w:val="num" w:pos="4026"/>
        </w:tabs>
        <w:ind w:left="4026" w:hanging="360"/>
      </w:pPr>
    </w:lvl>
    <w:lvl w:ilvl="5" w:tplc="0409001B" w:tentative="1">
      <w:start w:val="1"/>
      <w:numFmt w:val="lowerRoman"/>
      <w:lvlText w:val="%6."/>
      <w:lvlJc w:val="right"/>
      <w:pPr>
        <w:tabs>
          <w:tab w:val="num" w:pos="4746"/>
        </w:tabs>
        <w:ind w:left="4746" w:hanging="180"/>
      </w:pPr>
    </w:lvl>
    <w:lvl w:ilvl="6" w:tplc="0409000F" w:tentative="1">
      <w:start w:val="1"/>
      <w:numFmt w:val="decimal"/>
      <w:lvlText w:val="%7."/>
      <w:lvlJc w:val="left"/>
      <w:pPr>
        <w:tabs>
          <w:tab w:val="num" w:pos="5466"/>
        </w:tabs>
        <w:ind w:left="5466" w:hanging="360"/>
      </w:pPr>
    </w:lvl>
    <w:lvl w:ilvl="7" w:tplc="04090019" w:tentative="1">
      <w:start w:val="1"/>
      <w:numFmt w:val="lowerLetter"/>
      <w:lvlText w:val="%8."/>
      <w:lvlJc w:val="left"/>
      <w:pPr>
        <w:tabs>
          <w:tab w:val="num" w:pos="6186"/>
        </w:tabs>
        <w:ind w:left="6186" w:hanging="360"/>
      </w:pPr>
    </w:lvl>
    <w:lvl w:ilvl="8" w:tplc="0409001B" w:tentative="1">
      <w:start w:val="1"/>
      <w:numFmt w:val="lowerRoman"/>
      <w:lvlText w:val="%9."/>
      <w:lvlJc w:val="right"/>
      <w:pPr>
        <w:tabs>
          <w:tab w:val="num" w:pos="6906"/>
        </w:tabs>
        <w:ind w:left="6906"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7C51"/>
    <w:rsid w:val="0034512C"/>
    <w:rsid w:val="0044657C"/>
    <w:rsid w:val="005078DF"/>
    <w:rsid w:val="00887C51"/>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7C51"/>
    <w:rPr>
      <w:rFonts w:ascii="Calibri" w:eastAsia="Calibri" w:hAnsi="Calibri" w:cs="Times New Roman"/>
      <w:lang w:val="en-US"/>
    </w:rPr>
  </w:style>
  <w:style w:type="paragraph" w:styleId="Heading3">
    <w:name w:val="heading 3"/>
    <w:basedOn w:val="Normal"/>
    <w:next w:val="Normal"/>
    <w:link w:val="Heading3Char"/>
    <w:uiPriority w:val="99"/>
    <w:qFormat/>
    <w:rsid w:val="00887C51"/>
    <w:pPr>
      <w:keepNext/>
      <w:spacing w:before="300" w:after="160" w:line="240" w:lineRule="auto"/>
      <w:ind w:left="992" w:hanging="425"/>
      <w:jc w:val="both"/>
      <w:outlineLvl w:val="2"/>
    </w:pPr>
    <w:rPr>
      <w:rFonts w:ascii="Arial" w:eastAsia="Times New Roman" w:hAnsi="Arial" w:cs="Arial"/>
      <w:b/>
      <w:bCs/>
      <w:sz w:val="20"/>
      <w:szCs w:val="20"/>
      <w:lang w:val="ro-RO"/>
    </w:rPr>
  </w:style>
  <w:style w:type="paragraph" w:styleId="Heading4">
    <w:name w:val="heading 4"/>
    <w:basedOn w:val="Normal"/>
    <w:next w:val="Normal"/>
    <w:link w:val="Heading4Char"/>
    <w:uiPriority w:val="9"/>
    <w:qFormat/>
    <w:rsid w:val="00887C51"/>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rsid w:val="00887C51"/>
    <w:rPr>
      <w:rFonts w:ascii="Arial" w:eastAsia="Times New Roman" w:hAnsi="Arial" w:cs="Arial"/>
      <w:b/>
      <w:bCs/>
      <w:sz w:val="20"/>
      <w:szCs w:val="20"/>
    </w:rPr>
  </w:style>
  <w:style w:type="character" w:customStyle="1" w:styleId="Heading4Char">
    <w:name w:val="Heading 4 Char"/>
    <w:basedOn w:val="DefaultParagraphFont"/>
    <w:link w:val="Heading4"/>
    <w:uiPriority w:val="9"/>
    <w:rsid w:val="00887C51"/>
    <w:rPr>
      <w:rFonts w:ascii="Calibri" w:eastAsia="Times New Roman" w:hAnsi="Calibri" w:cs="Times New Roman"/>
      <w:b/>
      <w:bCs/>
      <w:sz w:val="28"/>
      <w:szCs w:val="28"/>
      <w:lang w:val="en-US"/>
    </w:rPr>
  </w:style>
  <w:style w:type="character" w:styleId="FootnoteReference">
    <w:name w:val="footnote reference"/>
    <w:basedOn w:val="DefaultParagraphFont"/>
    <w:rsid w:val="00887C51"/>
    <w:rPr>
      <w:color w:val="auto"/>
      <w:sz w:val="20"/>
      <w:szCs w:val="20"/>
      <w:vertAlign w:val="superscript"/>
    </w:rPr>
  </w:style>
  <w:style w:type="paragraph" w:styleId="FootnoteText">
    <w:name w:val="footnote text"/>
    <w:aliases w:val="Note de bas de page Car Car,Note de bas de page Car Caracter,Note de bas de page Car Caracter Caracter,Note de bas de page Car,Text notă de subsol Caracter Caracter Caracter,Text notă de subsol Caracter Caracter"/>
    <w:basedOn w:val="Normal"/>
    <w:link w:val="FootnoteTextChar"/>
    <w:rsid w:val="00887C51"/>
    <w:pPr>
      <w:spacing w:after="0" w:line="240" w:lineRule="auto"/>
      <w:ind w:left="284" w:hanging="284"/>
      <w:jc w:val="both"/>
    </w:pPr>
    <w:rPr>
      <w:rFonts w:ascii="Times New Roman" w:eastAsia="Times New Roman" w:hAnsi="Times New Roman"/>
      <w:sz w:val="19"/>
      <w:szCs w:val="19"/>
      <w:lang w:val="ro-RO"/>
    </w:rPr>
  </w:style>
  <w:style w:type="character" w:customStyle="1" w:styleId="FootnoteTextChar">
    <w:name w:val="Footnote Text Char"/>
    <w:aliases w:val="Note de bas de page Car Car Char,Note de bas de page Car Caracter Char,Note de bas de page Car Caracter Caracter Char,Note de bas de page Car Char,Text notă de subsol Caracter Caracter Caracter Char"/>
    <w:basedOn w:val="DefaultParagraphFont"/>
    <w:link w:val="FootnoteText"/>
    <w:rsid w:val="00887C51"/>
    <w:rPr>
      <w:rFonts w:ascii="Times New Roman" w:eastAsia="Times New Roman" w:hAnsi="Times New Roman" w:cs="Times New Roman"/>
      <w:sz w:val="19"/>
      <w:szCs w:val="19"/>
    </w:rPr>
  </w:style>
  <w:style w:type="paragraph" w:styleId="BodyText">
    <w:name w:val="Body Text"/>
    <w:basedOn w:val="Normal"/>
    <w:link w:val="BodyTextChar"/>
    <w:uiPriority w:val="99"/>
    <w:rsid w:val="00887C51"/>
    <w:pPr>
      <w:widowControl w:val="0"/>
      <w:spacing w:after="0" w:line="240" w:lineRule="auto"/>
      <w:ind w:firstLine="567"/>
      <w:jc w:val="both"/>
    </w:pPr>
    <w:rPr>
      <w:rFonts w:ascii="Times New Roman" w:eastAsia="Times New Roman" w:hAnsi="Times New Roman"/>
      <w:sz w:val="20"/>
      <w:szCs w:val="20"/>
      <w:lang w:val="ro-RO"/>
    </w:rPr>
  </w:style>
  <w:style w:type="character" w:customStyle="1" w:styleId="BodyTextChar">
    <w:name w:val="Body Text Char"/>
    <w:basedOn w:val="DefaultParagraphFont"/>
    <w:link w:val="BodyText"/>
    <w:uiPriority w:val="99"/>
    <w:rsid w:val="00887C51"/>
    <w:rPr>
      <w:rFonts w:ascii="Times New Roman" w:eastAsia="Times New Roman" w:hAnsi="Times New Roman" w:cs="Times New Roman"/>
      <w:sz w:val="20"/>
      <w:szCs w:val="20"/>
    </w:rPr>
  </w:style>
  <w:style w:type="paragraph" w:styleId="NormalWeb">
    <w:name w:val="Normal (Web)"/>
    <w:basedOn w:val="Normal"/>
    <w:rsid w:val="00887C51"/>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basedOn w:val="DefaultParagraphFont"/>
    <w:rsid w:val="00887C51"/>
    <w:rPr>
      <w:color w:val="0000FF"/>
      <w:u w:val="single"/>
    </w:rPr>
  </w:style>
  <w:style w:type="paragraph" w:customStyle="1" w:styleId="c12">
    <w:name w:val="c12"/>
    <w:basedOn w:val="Normal"/>
    <w:rsid w:val="00887C51"/>
    <w:pPr>
      <w:spacing w:before="100" w:beforeAutospacing="1" w:after="100" w:afterAutospacing="1" w:line="240" w:lineRule="auto"/>
    </w:pPr>
    <w:rPr>
      <w:rFonts w:ascii="Times New Roman" w:eastAsia="Times New Roman" w:hAnsi="Times New Roman"/>
      <w:sz w:val="24"/>
      <w:szCs w:val="24"/>
    </w:rPr>
  </w:style>
  <w:style w:type="paragraph" w:customStyle="1" w:styleId="Default">
    <w:name w:val="Default"/>
    <w:rsid w:val="00887C51"/>
    <w:pPr>
      <w:autoSpaceDE w:val="0"/>
      <w:autoSpaceDN w:val="0"/>
      <w:adjustRightInd w:val="0"/>
      <w:spacing w:after="0" w:line="240" w:lineRule="auto"/>
    </w:pPr>
    <w:rPr>
      <w:rFonts w:ascii="Times New Roman" w:eastAsia="Calibri" w:hAnsi="Times New Roman" w:cs="Times New Roman"/>
      <w:color w:val="000000"/>
      <w:sz w:val="24"/>
      <w:szCs w:val="24"/>
      <w:lang w:val="en-US"/>
    </w:rPr>
  </w:style>
  <w:style w:type="character" w:styleId="CommentReference">
    <w:name w:val="annotation reference"/>
    <w:basedOn w:val="DefaultParagraphFont"/>
    <w:uiPriority w:val="99"/>
    <w:semiHidden/>
    <w:unhideWhenUsed/>
    <w:rsid w:val="00887C51"/>
    <w:rPr>
      <w:sz w:val="16"/>
      <w:szCs w:val="16"/>
    </w:rPr>
  </w:style>
  <w:style w:type="paragraph" w:styleId="CommentText">
    <w:name w:val="annotation text"/>
    <w:basedOn w:val="Normal"/>
    <w:link w:val="CommentTextChar"/>
    <w:uiPriority w:val="99"/>
    <w:semiHidden/>
    <w:unhideWhenUsed/>
    <w:rsid w:val="00887C51"/>
    <w:rPr>
      <w:sz w:val="20"/>
      <w:szCs w:val="20"/>
    </w:rPr>
  </w:style>
  <w:style w:type="character" w:customStyle="1" w:styleId="CommentTextChar">
    <w:name w:val="Comment Text Char"/>
    <w:basedOn w:val="DefaultParagraphFont"/>
    <w:link w:val="CommentText"/>
    <w:uiPriority w:val="99"/>
    <w:semiHidden/>
    <w:rsid w:val="00887C51"/>
    <w:rPr>
      <w:rFonts w:ascii="Calibri" w:eastAsia="Calibri" w:hAnsi="Calibri" w:cs="Times New Roman"/>
      <w:sz w:val="20"/>
      <w:szCs w:val="20"/>
      <w:lang w:val="en-US"/>
    </w:rPr>
  </w:style>
  <w:style w:type="paragraph" w:styleId="Header">
    <w:name w:val="header"/>
    <w:basedOn w:val="Normal"/>
    <w:link w:val="HeaderChar"/>
    <w:uiPriority w:val="99"/>
    <w:unhideWhenUsed/>
    <w:rsid w:val="00887C51"/>
    <w:pPr>
      <w:tabs>
        <w:tab w:val="center" w:pos="4536"/>
        <w:tab w:val="right" w:pos="9072"/>
      </w:tabs>
      <w:spacing w:after="0" w:line="240" w:lineRule="auto"/>
    </w:pPr>
  </w:style>
  <w:style w:type="character" w:customStyle="1" w:styleId="HeaderChar">
    <w:name w:val="Header Char"/>
    <w:basedOn w:val="DefaultParagraphFont"/>
    <w:link w:val="Header"/>
    <w:uiPriority w:val="99"/>
    <w:rsid w:val="00887C51"/>
    <w:rPr>
      <w:rFonts w:ascii="Calibri" w:eastAsia="Calibri" w:hAnsi="Calibri" w:cs="Times New Roman"/>
      <w:lang w:val="en-US"/>
    </w:rPr>
  </w:style>
  <w:style w:type="paragraph" w:styleId="Footer">
    <w:name w:val="footer"/>
    <w:basedOn w:val="Normal"/>
    <w:link w:val="FooterChar"/>
    <w:uiPriority w:val="99"/>
    <w:unhideWhenUsed/>
    <w:rsid w:val="00887C51"/>
    <w:pPr>
      <w:tabs>
        <w:tab w:val="center" w:pos="4536"/>
        <w:tab w:val="right" w:pos="9072"/>
      </w:tabs>
      <w:spacing w:after="0" w:line="240" w:lineRule="auto"/>
    </w:pPr>
  </w:style>
  <w:style w:type="character" w:customStyle="1" w:styleId="FooterChar">
    <w:name w:val="Footer Char"/>
    <w:basedOn w:val="DefaultParagraphFont"/>
    <w:link w:val="Footer"/>
    <w:uiPriority w:val="99"/>
    <w:rsid w:val="00887C51"/>
    <w:rPr>
      <w:rFonts w:ascii="Calibri" w:eastAsia="Calibri" w:hAnsi="Calibri" w:cs="Times New Roman"/>
      <w:lang w:val="en-US"/>
    </w:rPr>
  </w:style>
  <w:style w:type="paragraph" w:styleId="BalloonText">
    <w:name w:val="Balloon Text"/>
    <w:basedOn w:val="Normal"/>
    <w:link w:val="BalloonTextChar"/>
    <w:uiPriority w:val="99"/>
    <w:semiHidden/>
    <w:unhideWhenUsed/>
    <w:rsid w:val="00887C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7C51"/>
    <w:rPr>
      <w:rFonts w:ascii="Tahoma" w:eastAsia="Calibri" w:hAnsi="Tahoma" w:cs="Tahoma"/>
      <w:sz w:val="16"/>
      <w:szCs w:val="16"/>
      <w:lang w:val="en-US"/>
    </w:rPr>
  </w:style>
  <w:style w:type="character" w:styleId="Strong">
    <w:name w:val="Strong"/>
    <w:basedOn w:val="DefaultParagraphFont"/>
    <w:qFormat/>
    <w:rsid w:val="00887C51"/>
    <w:rPr>
      <w:b/>
      <w:bCs/>
    </w:rPr>
  </w:style>
  <w:style w:type="character" w:customStyle="1" w:styleId="pg-1fc1">
    <w:name w:val="pg-1fc1"/>
    <w:basedOn w:val="DefaultParagraphFont"/>
    <w:rsid w:val="00887C51"/>
  </w:style>
  <w:style w:type="character" w:customStyle="1" w:styleId="FootnoteCharacters">
    <w:name w:val="Footnote Characters"/>
    <w:basedOn w:val="DefaultParagraphFont"/>
    <w:rsid w:val="00887C51"/>
    <w:rPr>
      <w:vertAlign w:val="superscript"/>
    </w:rPr>
  </w:style>
  <w:style w:type="character" w:customStyle="1" w:styleId="algo-summary">
    <w:name w:val="algo-summary"/>
    <w:basedOn w:val="DefaultParagraphFont"/>
    <w:rsid w:val="00887C51"/>
  </w:style>
  <w:style w:type="character" w:customStyle="1" w:styleId="WW8Num1z3">
    <w:name w:val="WW8Num1z3"/>
    <w:rsid w:val="00887C51"/>
  </w:style>
  <w:style w:type="paragraph" w:styleId="Title">
    <w:name w:val="Title"/>
    <w:basedOn w:val="Normal"/>
    <w:link w:val="TitleChar"/>
    <w:qFormat/>
    <w:rsid w:val="00887C51"/>
    <w:pPr>
      <w:spacing w:after="0" w:line="240" w:lineRule="auto"/>
      <w:jc w:val="center"/>
    </w:pPr>
    <w:rPr>
      <w:rFonts w:ascii="Times New Roman" w:eastAsia="Times New Roman" w:hAnsi="Times New Roman"/>
      <w:b/>
      <w:sz w:val="28"/>
      <w:szCs w:val="24"/>
      <w:lang w:val="ro-RO"/>
    </w:rPr>
  </w:style>
  <w:style w:type="character" w:customStyle="1" w:styleId="TitleChar">
    <w:name w:val="Title Char"/>
    <w:basedOn w:val="DefaultParagraphFont"/>
    <w:link w:val="Title"/>
    <w:rsid w:val="00887C51"/>
    <w:rPr>
      <w:rFonts w:ascii="Times New Roman" w:eastAsia="Times New Roman" w:hAnsi="Times New Roman" w:cs="Times New Roman"/>
      <w:b/>
      <w:sz w:val="2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7C51"/>
    <w:rPr>
      <w:rFonts w:ascii="Calibri" w:eastAsia="Calibri" w:hAnsi="Calibri" w:cs="Times New Roman"/>
      <w:lang w:val="en-US"/>
    </w:rPr>
  </w:style>
  <w:style w:type="paragraph" w:styleId="Heading3">
    <w:name w:val="heading 3"/>
    <w:basedOn w:val="Normal"/>
    <w:next w:val="Normal"/>
    <w:link w:val="Heading3Char"/>
    <w:uiPriority w:val="99"/>
    <w:qFormat/>
    <w:rsid w:val="00887C51"/>
    <w:pPr>
      <w:keepNext/>
      <w:spacing w:before="300" w:after="160" w:line="240" w:lineRule="auto"/>
      <w:ind w:left="992" w:hanging="425"/>
      <w:jc w:val="both"/>
      <w:outlineLvl w:val="2"/>
    </w:pPr>
    <w:rPr>
      <w:rFonts w:ascii="Arial" w:eastAsia="Times New Roman" w:hAnsi="Arial" w:cs="Arial"/>
      <w:b/>
      <w:bCs/>
      <w:sz w:val="20"/>
      <w:szCs w:val="20"/>
      <w:lang w:val="ro-RO"/>
    </w:rPr>
  </w:style>
  <w:style w:type="paragraph" w:styleId="Heading4">
    <w:name w:val="heading 4"/>
    <w:basedOn w:val="Normal"/>
    <w:next w:val="Normal"/>
    <w:link w:val="Heading4Char"/>
    <w:uiPriority w:val="9"/>
    <w:qFormat/>
    <w:rsid w:val="00887C51"/>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rsid w:val="00887C51"/>
    <w:rPr>
      <w:rFonts w:ascii="Arial" w:eastAsia="Times New Roman" w:hAnsi="Arial" w:cs="Arial"/>
      <w:b/>
      <w:bCs/>
      <w:sz w:val="20"/>
      <w:szCs w:val="20"/>
    </w:rPr>
  </w:style>
  <w:style w:type="character" w:customStyle="1" w:styleId="Heading4Char">
    <w:name w:val="Heading 4 Char"/>
    <w:basedOn w:val="DefaultParagraphFont"/>
    <w:link w:val="Heading4"/>
    <w:uiPriority w:val="9"/>
    <w:rsid w:val="00887C51"/>
    <w:rPr>
      <w:rFonts w:ascii="Calibri" w:eastAsia="Times New Roman" w:hAnsi="Calibri" w:cs="Times New Roman"/>
      <w:b/>
      <w:bCs/>
      <w:sz w:val="28"/>
      <w:szCs w:val="28"/>
      <w:lang w:val="en-US"/>
    </w:rPr>
  </w:style>
  <w:style w:type="character" w:styleId="FootnoteReference">
    <w:name w:val="footnote reference"/>
    <w:basedOn w:val="DefaultParagraphFont"/>
    <w:rsid w:val="00887C51"/>
    <w:rPr>
      <w:color w:val="auto"/>
      <w:sz w:val="20"/>
      <w:szCs w:val="20"/>
      <w:vertAlign w:val="superscript"/>
    </w:rPr>
  </w:style>
  <w:style w:type="paragraph" w:styleId="FootnoteText">
    <w:name w:val="footnote text"/>
    <w:aliases w:val="Note de bas de page Car Car,Note de bas de page Car Caracter,Note de bas de page Car Caracter Caracter,Note de bas de page Car,Text notă de subsol Caracter Caracter Caracter,Text notă de subsol Caracter Caracter"/>
    <w:basedOn w:val="Normal"/>
    <w:link w:val="FootnoteTextChar"/>
    <w:rsid w:val="00887C51"/>
    <w:pPr>
      <w:spacing w:after="0" w:line="240" w:lineRule="auto"/>
      <w:ind w:left="284" w:hanging="284"/>
      <w:jc w:val="both"/>
    </w:pPr>
    <w:rPr>
      <w:rFonts w:ascii="Times New Roman" w:eastAsia="Times New Roman" w:hAnsi="Times New Roman"/>
      <w:sz w:val="19"/>
      <w:szCs w:val="19"/>
      <w:lang w:val="ro-RO"/>
    </w:rPr>
  </w:style>
  <w:style w:type="character" w:customStyle="1" w:styleId="FootnoteTextChar">
    <w:name w:val="Footnote Text Char"/>
    <w:aliases w:val="Note de bas de page Car Car Char,Note de bas de page Car Caracter Char,Note de bas de page Car Caracter Caracter Char,Note de bas de page Car Char,Text notă de subsol Caracter Caracter Caracter Char"/>
    <w:basedOn w:val="DefaultParagraphFont"/>
    <w:link w:val="FootnoteText"/>
    <w:rsid w:val="00887C51"/>
    <w:rPr>
      <w:rFonts w:ascii="Times New Roman" w:eastAsia="Times New Roman" w:hAnsi="Times New Roman" w:cs="Times New Roman"/>
      <w:sz w:val="19"/>
      <w:szCs w:val="19"/>
    </w:rPr>
  </w:style>
  <w:style w:type="paragraph" w:styleId="BodyText">
    <w:name w:val="Body Text"/>
    <w:basedOn w:val="Normal"/>
    <w:link w:val="BodyTextChar"/>
    <w:uiPriority w:val="99"/>
    <w:rsid w:val="00887C51"/>
    <w:pPr>
      <w:widowControl w:val="0"/>
      <w:spacing w:after="0" w:line="240" w:lineRule="auto"/>
      <w:ind w:firstLine="567"/>
      <w:jc w:val="both"/>
    </w:pPr>
    <w:rPr>
      <w:rFonts w:ascii="Times New Roman" w:eastAsia="Times New Roman" w:hAnsi="Times New Roman"/>
      <w:sz w:val="20"/>
      <w:szCs w:val="20"/>
      <w:lang w:val="ro-RO"/>
    </w:rPr>
  </w:style>
  <w:style w:type="character" w:customStyle="1" w:styleId="BodyTextChar">
    <w:name w:val="Body Text Char"/>
    <w:basedOn w:val="DefaultParagraphFont"/>
    <w:link w:val="BodyText"/>
    <w:uiPriority w:val="99"/>
    <w:rsid w:val="00887C51"/>
    <w:rPr>
      <w:rFonts w:ascii="Times New Roman" w:eastAsia="Times New Roman" w:hAnsi="Times New Roman" w:cs="Times New Roman"/>
      <w:sz w:val="20"/>
      <w:szCs w:val="20"/>
    </w:rPr>
  </w:style>
  <w:style w:type="paragraph" w:styleId="NormalWeb">
    <w:name w:val="Normal (Web)"/>
    <w:basedOn w:val="Normal"/>
    <w:rsid w:val="00887C51"/>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basedOn w:val="DefaultParagraphFont"/>
    <w:rsid w:val="00887C51"/>
    <w:rPr>
      <w:color w:val="0000FF"/>
      <w:u w:val="single"/>
    </w:rPr>
  </w:style>
  <w:style w:type="paragraph" w:customStyle="1" w:styleId="c12">
    <w:name w:val="c12"/>
    <w:basedOn w:val="Normal"/>
    <w:rsid w:val="00887C51"/>
    <w:pPr>
      <w:spacing w:before="100" w:beforeAutospacing="1" w:after="100" w:afterAutospacing="1" w:line="240" w:lineRule="auto"/>
    </w:pPr>
    <w:rPr>
      <w:rFonts w:ascii="Times New Roman" w:eastAsia="Times New Roman" w:hAnsi="Times New Roman"/>
      <w:sz w:val="24"/>
      <w:szCs w:val="24"/>
    </w:rPr>
  </w:style>
  <w:style w:type="paragraph" w:customStyle="1" w:styleId="Default">
    <w:name w:val="Default"/>
    <w:rsid w:val="00887C51"/>
    <w:pPr>
      <w:autoSpaceDE w:val="0"/>
      <w:autoSpaceDN w:val="0"/>
      <w:adjustRightInd w:val="0"/>
      <w:spacing w:after="0" w:line="240" w:lineRule="auto"/>
    </w:pPr>
    <w:rPr>
      <w:rFonts w:ascii="Times New Roman" w:eastAsia="Calibri" w:hAnsi="Times New Roman" w:cs="Times New Roman"/>
      <w:color w:val="000000"/>
      <w:sz w:val="24"/>
      <w:szCs w:val="24"/>
      <w:lang w:val="en-US"/>
    </w:rPr>
  </w:style>
  <w:style w:type="character" w:styleId="CommentReference">
    <w:name w:val="annotation reference"/>
    <w:basedOn w:val="DefaultParagraphFont"/>
    <w:uiPriority w:val="99"/>
    <w:semiHidden/>
    <w:unhideWhenUsed/>
    <w:rsid w:val="00887C51"/>
    <w:rPr>
      <w:sz w:val="16"/>
      <w:szCs w:val="16"/>
    </w:rPr>
  </w:style>
  <w:style w:type="paragraph" w:styleId="CommentText">
    <w:name w:val="annotation text"/>
    <w:basedOn w:val="Normal"/>
    <w:link w:val="CommentTextChar"/>
    <w:uiPriority w:val="99"/>
    <w:semiHidden/>
    <w:unhideWhenUsed/>
    <w:rsid w:val="00887C51"/>
    <w:rPr>
      <w:sz w:val="20"/>
      <w:szCs w:val="20"/>
    </w:rPr>
  </w:style>
  <w:style w:type="character" w:customStyle="1" w:styleId="CommentTextChar">
    <w:name w:val="Comment Text Char"/>
    <w:basedOn w:val="DefaultParagraphFont"/>
    <w:link w:val="CommentText"/>
    <w:uiPriority w:val="99"/>
    <w:semiHidden/>
    <w:rsid w:val="00887C51"/>
    <w:rPr>
      <w:rFonts w:ascii="Calibri" w:eastAsia="Calibri" w:hAnsi="Calibri" w:cs="Times New Roman"/>
      <w:sz w:val="20"/>
      <w:szCs w:val="20"/>
      <w:lang w:val="en-US"/>
    </w:rPr>
  </w:style>
  <w:style w:type="paragraph" w:styleId="Header">
    <w:name w:val="header"/>
    <w:basedOn w:val="Normal"/>
    <w:link w:val="HeaderChar"/>
    <w:uiPriority w:val="99"/>
    <w:unhideWhenUsed/>
    <w:rsid w:val="00887C51"/>
    <w:pPr>
      <w:tabs>
        <w:tab w:val="center" w:pos="4536"/>
        <w:tab w:val="right" w:pos="9072"/>
      </w:tabs>
      <w:spacing w:after="0" w:line="240" w:lineRule="auto"/>
    </w:pPr>
  </w:style>
  <w:style w:type="character" w:customStyle="1" w:styleId="HeaderChar">
    <w:name w:val="Header Char"/>
    <w:basedOn w:val="DefaultParagraphFont"/>
    <w:link w:val="Header"/>
    <w:uiPriority w:val="99"/>
    <w:rsid w:val="00887C51"/>
    <w:rPr>
      <w:rFonts w:ascii="Calibri" w:eastAsia="Calibri" w:hAnsi="Calibri" w:cs="Times New Roman"/>
      <w:lang w:val="en-US"/>
    </w:rPr>
  </w:style>
  <w:style w:type="paragraph" w:styleId="Footer">
    <w:name w:val="footer"/>
    <w:basedOn w:val="Normal"/>
    <w:link w:val="FooterChar"/>
    <w:uiPriority w:val="99"/>
    <w:unhideWhenUsed/>
    <w:rsid w:val="00887C51"/>
    <w:pPr>
      <w:tabs>
        <w:tab w:val="center" w:pos="4536"/>
        <w:tab w:val="right" w:pos="9072"/>
      </w:tabs>
      <w:spacing w:after="0" w:line="240" w:lineRule="auto"/>
    </w:pPr>
  </w:style>
  <w:style w:type="character" w:customStyle="1" w:styleId="FooterChar">
    <w:name w:val="Footer Char"/>
    <w:basedOn w:val="DefaultParagraphFont"/>
    <w:link w:val="Footer"/>
    <w:uiPriority w:val="99"/>
    <w:rsid w:val="00887C51"/>
    <w:rPr>
      <w:rFonts w:ascii="Calibri" w:eastAsia="Calibri" w:hAnsi="Calibri" w:cs="Times New Roman"/>
      <w:lang w:val="en-US"/>
    </w:rPr>
  </w:style>
  <w:style w:type="paragraph" w:styleId="BalloonText">
    <w:name w:val="Balloon Text"/>
    <w:basedOn w:val="Normal"/>
    <w:link w:val="BalloonTextChar"/>
    <w:uiPriority w:val="99"/>
    <w:semiHidden/>
    <w:unhideWhenUsed/>
    <w:rsid w:val="00887C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7C51"/>
    <w:rPr>
      <w:rFonts w:ascii="Tahoma" w:eastAsia="Calibri" w:hAnsi="Tahoma" w:cs="Tahoma"/>
      <w:sz w:val="16"/>
      <w:szCs w:val="16"/>
      <w:lang w:val="en-US"/>
    </w:rPr>
  </w:style>
  <w:style w:type="character" w:styleId="Strong">
    <w:name w:val="Strong"/>
    <w:basedOn w:val="DefaultParagraphFont"/>
    <w:qFormat/>
    <w:rsid w:val="00887C51"/>
    <w:rPr>
      <w:b/>
      <w:bCs/>
    </w:rPr>
  </w:style>
  <w:style w:type="character" w:customStyle="1" w:styleId="pg-1fc1">
    <w:name w:val="pg-1fc1"/>
    <w:basedOn w:val="DefaultParagraphFont"/>
    <w:rsid w:val="00887C51"/>
  </w:style>
  <w:style w:type="character" w:customStyle="1" w:styleId="FootnoteCharacters">
    <w:name w:val="Footnote Characters"/>
    <w:basedOn w:val="DefaultParagraphFont"/>
    <w:rsid w:val="00887C51"/>
    <w:rPr>
      <w:vertAlign w:val="superscript"/>
    </w:rPr>
  </w:style>
  <w:style w:type="character" w:customStyle="1" w:styleId="algo-summary">
    <w:name w:val="algo-summary"/>
    <w:basedOn w:val="DefaultParagraphFont"/>
    <w:rsid w:val="00887C51"/>
  </w:style>
  <w:style w:type="character" w:customStyle="1" w:styleId="WW8Num1z3">
    <w:name w:val="WW8Num1z3"/>
    <w:rsid w:val="00887C51"/>
  </w:style>
  <w:style w:type="paragraph" w:styleId="Title">
    <w:name w:val="Title"/>
    <w:basedOn w:val="Normal"/>
    <w:link w:val="TitleChar"/>
    <w:qFormat/>
    <w:rsid w:val="00887C51"/>
    <w:pPr>
      <w:spacing w:after="0" w:line="240" w:lineRule="auto"/>
      <w:jc w:val="center"/>
    </w:pPr>
    <w:rPr>
      <w:rFonts w:ascii="Times New Roman" w:eastAsia="Times New Roman" w:hAnsi="Times New Roman"/>
      <w:b/>
      <w:sz w:val="28"/>
      <w:szCs w:val="24"/>
      <w:lang w:val="ro-RO"/>
    </w:rPr>
  </w:style>
  <w:style w:type="character" w:customStyle="1" w:styleId="TitleChar">
    <w:name w:val="Title Char"/>
    <w:basedOn w:val="DefaultParagraphFont"/>
    <w:link w:val="Title"/>
    <w:rsid w:val="00887C51"/>
    <w:rPr>
      <w:rFonts w:ascii="Times New Roman" w:eastAsia="Times New Roman" w:hAnsi="Times New Roman" w:cs="Times New Roman"/>
      <w:b/>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chemistry.about.com/b/2011/02/06/how-much-are-the-elements-in-your-body-worth.htm" TargetMode="External"/><Relationship Id="rId1" Type="http://schemas.openxmlformats.org/officeDocument/2006/relationships/hyperlink" Target="http://synergia-isa.ru/wp-content/uploads/2011/08/hor_leban_talk.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10418</Words>
  <Characters>60427</Characters>
  <Application>Microsoft Office Word</Application>
  <DocSecurity>0</DocSecurity>
  <Lines>503</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2018-10-30T03:33:00Z</dcterms:created>
  <dcterms:modified xsi:type="dcterms:W3CDTF">2018-10-30T03:33:00Z</dcterms:modified>
</cp:coreProperties>
</file>