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5BD6" w:rsidRDefault="006D5BD6" w:rsidP="006D5BD6">
      <w:pPr>
        <w:shd w:val="clear" w:color="auto" w:fill="FFFFFF"/>
        <w:spacing w:line="232" w:lineRule="auto"/>
        <w:ind w:left="-630" w:right="-540" w:firstLine="284"/>
        <w:jc w:val="both"/>
        <w:rPr>
          <w:bCs/>
          <w:lang w:val="ro-RO"/>
        </w:rPr>
      </w:pPr>
      <w:r>
        <w:rPr>
          <w:bCs/>
          <w:lang w:val="ro-RO"/>
        </w:rPr>
        <w:t xml:space="preserve">Soteriologie an IV </w:t>
      </w:r>
      <w:r w:rsidRPr="006D5BD6">
        <w:rPr>
          <w:b/>
          <w:bCs/>
          <w:i/>
          <w:u w:val="single"/>
          <w:lang w:val="ro-RO"/>
        </w:rPr>
        <w:t>completare</w:t>
      </w:r>
      <w:r>
        <w:rPr>
          <w:b/>
          <w:bCs/>
          <w:i/>
          <w:u w:val="single"/>
          <w:lang w:val="ro-RO"/>
        </w:rPr>
        <w:t xml:space="preserve"> curs</w:t>
      </w:r>
      <w:r w:rsidRPr="006D5BD6">
        <w:rPr>
          <w:b/>
          <w:bCs/>
          <w:i/>
          <w:u w:val="single"/>
          <w:lang w:val="ro-RO"/>
        </w:rPr>
        <w:t xml:space="preserve"> </w:t>
      </w:r>
    </w:p>
    <w:p w:rsidR="006D5BD6" w:rsidRDefault="006D5BD6" w:rsidP="006D5BD6">
      <w:pPr>
        <w:shd w:val="clear" w:color="auto" w:fill="FFFFFF"/>
        <w:spacing w:line="232" w:lineRule="auto"/>
        <w:ind w:left="-630" w:right="-540" w:firstLine="284"/>
        <w:jc w:val="both"/>
        <w:rPr>
          <w:bCs/>
          <w:lang w:val="ro-RO"/>
        </w:rPr>
      </w:pPr>
    </w:p>
    <w:p w:rsidR="006D5BD6" w:rsidRDefault="006D5BD6" w:rsidP="006D5BD6">
      <w:pPr>
        <w:shd w:val="clear" w:color="auto" w:fill="FFFFFF"/>
        <w:spacing w:line="232" w:lineRule="auto"/>
        <w:ind w:left="-630" w:right="-540" w:firstLine="284"/>
        <w:jc w:val="both"/>
      </w:pPr>
      <w:r>
        <w:rPr>
          <w:bCs/>
          <w:lang w:val="ro-RO"/>
        </w:rPr>
        <w:t>Roadele răscumpărării universale se pot împropria doar prin lucrarea sfinţitoare a Duhului Sfânt, Cel care ne conferă frumuseţea, haina de lumină a lui Hristos la Botez. Prin urmare există</w:t>
      </w:r>
      <w:r>
        <w:rPr>
          <w:lang w:val="ro-RO"/>
        </w:rPr>
        <w:t xml:space="preserve"> o legătură inseparabilă între iconomia şi misiunea Fiului şi iconomia şi misiunea Duhului Sfânt. De pildă, Unul e Unsul, Celălalt este ungerea: </w:t>
      </w:r>
      <w:r>
        <w:rPr>
          <w:i/>
          <w:iCs/>
          <w:lang w:val="ro-RO"/>
        </w:rPr>
        <w:t>,,Duhul Domnului este peste Mine, căci Domnul M-a uns”</w:t>
      </w:r>
      <w:r>
        <w:rPr>
          <w:iCs/>
          <w:lang w:val="ro-RO"/>
        </w:rPr>
        <w:t>(Lc</w:t>
      </w:r>
      <w:r>
        <w:rPr>
          <w:i/>
          <w:iCs/>
          <w:lang w:val="ro-RO"/>
        </w:rPr>
        <w:t xml:space="preserve">. </w:t>
      </w:r>
      <w:r>
        <w:rPr>
          <w:lang w:val="ro-RO"/>
        </w:rPr>
        <w:t xml:space="preserve">4, 18-19). Iisus este sfinţit ca Mesia, în întreita Lui slujire: Profet, Arhiereu şi Domn, prin ungerea Duhului la Întrupare (Is. 61,1; Lc.4,1; Iez.37,1-7). La manifestarea publică </w:t>
      </w:r>
      <w:r>
        <w:rPr>
          <w:i/>
          <w:iCs/>
          <w:lang w:val="ro-RO"/>
        </w:rPr>
        <w:t xml:space="preserve">(epifania) </w:t>
      </w:r>
      <w:r>
        <w:rPr>
          <w:lang w:val="ro-RO"/>
        </w:rPr>
        <w:t xml:space="preserve">a lui Iisus ca Mesia, cu ocazia Botezului în Iordan, Duhul vine „ca” porumbel din cer peste El (In. L 32). Prin lucrarea Duhului Sfânt în Fecioara Maria, Tatăl pregăteşte venirea şi-L dăruieşte lumii pe Emanuel (Mt. 1, 23). Duhul, Care este activ în creaţie şi Se arată la începutul lumii ca o mamă care dă naştere copilului (Facere, 1, 28; 2, 7; Ps. 103, 28-31; Iov 33, 4), Care a vorbit prin Prooroci, i-a inspirat pe scriitorii biblici, i-a uns pe preoţi şi pe regi. Acelaşi Duh Se odihneşte în Fiul şi este trimis în lume de Fiul (In. 15, 26; 16, 13-15) şi, aşa cum Fiul L-a proslăvit pe Tatăl (In. 17, 4), tot aşa Fiul va fi proslăvit de Duhul Sfânt (In. 16, 4). El este trimis să comunice viaţa pe care a dăruit-o Fiul (In. 10, 10): </w:t>
      </w:r>
      <w:r>
        <w:rPr>
          <w:i/>
          <w:iCs/>
          <w:lang w:val="ro-RO"/>
        </w:rPr>
        <w:t>„Duhul este Cel Care dă viaţă; trupul nu foloseşte la nimic. Cuvintele pe care vi le-am dat sunt Duh şi via</w:t>
      </w:r>
      <w:r>
        <w:rPr>
          <w:rFonts w:ascii="Cambria Math" w:hAnsi="Cambria Math"/>
          <w:i/>
          <w:iCs/>
          <w:lang w:val="ro-RO"/>
        </w:rPr>
        <w:t>t</w:t>
      </w:r>
      <w:r>
        <w:rPr>
          <w:i/>
          <w:iCs/>
          <w:lang w:val="ro-RO"/>
        </w:rPr>
        <w:t xml:space="preserve">ă” </w:t>
      </w:r>
      <w:r>
        <w:rPr>
          <w:lang w:val="ro-RO"/>
        </w:rPr>
        <w:t>(In. 6, 63). El este trimis să dea „mărturie”</w:t>
      </w:r>
      <w:r>
        <w:rPr>
          <w:vertAlign w:val="superscript"/>
          <w:lang w:val="ro-RO"/>
        </w:rPr>
        <w:t xml:space="preserve"> </w:t>
      </w:r>
      <w:r>
        <w:rPr>
          <w:lang w:val="ro-RO"/>
        </w:rPr>
        <w:t xml:space="preserve">despre Fiul, de aceea </w:t>
      </w:r>
      <w:r>
        <w:rPr>
          <w:i/>
          <w:iCs/>
          <w:lang w:val="ro-RO"/>
        </w:rPr>
        <w:t xml:space="preserve">,,Nimeni nu poate să spună: Domn este Iisus, decât în Duhul Sfânt” </w:t>
      </w:r>
      <w:r>
        <w:rPr>
          <w:lang w:val="ro-RO"/>
        </w:rPr>
        <w:t xml:space="preserve">(I Cor. 12, 3). El este şi Duhul Fiului, trimis de Tatăl în inimile noastre ca să confirme că suntem „fiii” Săi, strigând </w:t>
      </w:r>
      <w:r>
        <w:rPr>
          <w:i/>
          <w:iCs/>
          <w:lang w:val="ro-RO"/>
        </w:rPr>
        <w:t xml:space="preserve">,,Avva, Părinte” </w:t>
      </w:r>
      <w:r>
        <w:rPr>
          <w:lang w:val="ro-RO"/>
        </w:rPr>
        <w:t>(Gal. 4, 6).</w:t>
      </w:r>
      <w:r>
        <w:t xml:space="preserve"> </w:t>
      </w:r>
    </w:p>
    <w:p w:rsidR="006D5BD6" w:rsidRDefault="006D5BD6" w:rsidP="006D5BD6">
      <w:pPr>
        <w:shd w:val="clear" w:color="auto" w:fill="FFFFFF"/>
        <w:spacing w:line="232" w:lineRule="auto"/>
        <w:ind w:left="-630" w:right="-540" w:firstLine="720"/>
        <w:jc w:val="both"/>
        <w:rPr>
          <w:b/>
          <w:lang w:val="ro-RO"/>
        </w:rPr>
      </w:pPr>
      <w:r>
        <w:t xml:space="preserve">Dacă în Vechiul Testament, Duhul Sfânt a pregătit întruparea Fiului lui Dumnezeu “grăind prin prooroci” şi a făcut posibilă zămislirea Sa în pântecele Fecioarei Maria, în Noul Testament </w:t>
      </w:r>
      <w:r w:rsidRPr="007100B2">
        <w:t>u</w:t>
      </w:r>
      <w:r>
        <w:t>l</w:t>
      </w:r>
      <w:r w:rsidRPr="007100B2">
        <w:rPr>
          <w:bCs/>
          <w:lang w:val="ro-RO"/>
        </w:rPr>
        <w:t>timul</w:t>
      </w:r>
      <w:r>
        <w:rPr>
          <w:bCs/>
          <w:lang w:val="ro-RO"/>
        </w:rPr>
        <w:t xml:space="preserve"> act din iconomia mântuirii</w:t>
      </w:r>
      <w:r>
        <w:rPr>
          <w:b/>
          <w:bCs/>
          <w:lang w:val="ro-RO"/>
        </w:rPr>
        <w:t xml:space="preserve"> </w:t>
      </w:r>
      <w:r>
        <w:rPr>
          <w:bCs/>
          <w:lang w:val="ro-RO"/>
        </w:rPr>
        <w:t>realizate de Iisus Hristos este chiar</w:t>
      </w:r>
      <w:r>
        <w:rPr>
          <w:b/>
          <w:bCs/>
          <w:lang w:val="ro-RO"/>
        </w:rPr>
        <w:t xml:space="preserve"> </w:t>
      </w:r>
      <w:r>
        <w:rPr>
          <w:lang w:val="ro-RO"/>
        </w:rPr>
        <w:t xml:space="preserve">revărsarea Duhului Sfânt peste Apostoli şi peste ucenici în Ierusalim la Cincizecime.  Cei ce caută Duhul lui Dumnezeu şi darurile acestuia trebuie să le caute în adunarea </w:t>
      </w:r>
      <w:r>
        <w:rPr>
          <w:b/>
          <w:bCs/>
          <w:lang w:val="ro-RO"/>
        </w:rPr>
        <w:t>(</w:t>
      </w:r>
      <w:r>
        <w:rPr>
          <w:bCs/>
          <w:i/>
          <w:lang w:val="ro-RO"/>
        </w:rPr>
        <w:t>ekklesia</w:t>
      </w:r>
      <w:r>
        <w:rPr>
          <w:b/>
          <w:bCs/>
          <w:lang w:val="ro-RO"/>
        </w:rPr>
        <w:t xml:space="preserve">) </w:t>
      </w:r>
      <w:r>
        <w:rPr>
          <w:lang w:val="ro-RO"/>
        </w:rPr>
        <w:t xml:space="preserve">care s-a constituit la Cincizecime prin ungerea Duhului (F.A. 8, 1). Dumnezeu a ales să lucreze în şi prin poporul Său uns, sacerdotal, care poartă pecetea Duhului ca arvună a împărăţiei lui Dumnezeu. Duhul Sfânt este libertate, de aceea ia iniţiative şi-i antrenează pe oameni să răspundă prin credinţă lui Hristos. El caută să realizeze </w:t>
      </w:r>
      <w:r>
        <w:rPr>
          <w:i/>
          <w:iCs/>
          <w:lang w:val="ro-RO"/>
        </w:rPr>
        <w:t xml:space="preserve">„plinătatea trupului” </w:t>
      </w:r>
      <w:r>
        <w:rPr>
          <w:lang w:val="ro-RO"/>
        </w:rPr>
        <w:t xml:space="preserve">Bisericii, recapitularea tuturor în Hristos. De aici, responsabilitatea misionară şi profetică a celor „unşi” (hristoşi), fie prin Ungerea cu Mir, fie prin Hirotonie (sau punerea mâinilor). Este de datoria creştinilor să nu stingă Duhul nici în viaţa lor, nici în viaţa Bisericii ca instituiţie, nici în lumea „din afară”. </w:t>
      </w:r>
      <w:r>
        <w:rPr>
          <w:i/>
          <w:iCs/>
          <w:lang w:val="ro-RO"/>
        </w:rPr>
        <w:t xml:space="preserve">„Nu stingeţi Duhul” </w:t>
      </w:r>
      <w:r>
        <w:rPr>
          <w:lang w:val="ro-RO"/>
        </w:rPr>
        <w:t>(I Tes. 5, 19) este mai degrabă un avertisment, deoarece Duhul nu poate să fie stins. Rugăciunea proprie Bisericii este: „</w:t>
      </w:r>
      <w:r>
        <w:rPr>
          <w:i/>
          <w:iCs/>
          <w:lang w:val="ro-RO"/>
        </w:rPr>
        <w:t>Vino, Duhule Sfânt”.</w:t>
      </w:r>
      <w:r>
        <w:rPr>
          <w:b/>
          <w:lang w:val="ro-RO"/>
        </w:rPr>
        <w:t xml:space="preserve"> </w:t>
      </w:r>
    </w:p>
    <w:p w:rsidR="006D5BD6" w:rsidRDefault="006D5BD6" w:rsidP="006D5BD6">
      <w:pPr>
        <w:shd w:val="clear" w:color="auto" w:fill="FFFFFF"/>
        <w:spacing w:line="237" w:lineRule="auto"/>
        <w:ind w:left="-630" w:right="-540" w:firstLine="720"/>
        <w:jc w:val="both"/>
        <w:rPr>
          <w:i/>
          <w:iCs/>
          <w:lang w:val="ro-RO"/>
        </w:rPr>
      </w:pPr>
      <w:r>
        <w:rPr>
          <w:spacing w:val="-2"/>
          <w:lang w:val="ro-RO"/>
        </w:rPr>
        <w:t xml:space="preserve"> Duhul Sfânt este şi garantul şi instrumentul prezenţei lui Hristos în istoria şi în misiunea Bisericii, fiind Duhul Adevărului (In. 16, 13). Hristos inspiră, însufleţeşte şi sfinţeşte Biserica Sa prin Duhul Sfânt, prin El lucrează în Tainele Bisericii, preface darurile euhar</w:t>
      </w:r>
      <w:r>
        <w:rPr>
          <w:spacing w:val="-4"/>
          <w:lang w:val="ro-RO"/>
        </w:rPr>
        <w:t xml:space="preserve">istice în Trupul şi în Sângele Domnului, instituie trepte de slujire şi harisme. Prin punerea mâinilor, Apostolii împărtăşeau Duhul Sfânt (F.A. 8, 17-18; Evr. 6, 2). „ </w:t>
      </w:r>
      <w:r>
        <w:rPr>
          <w:i/>
          <w:iCs/>
          <w:spacing w:val="-4"/>
          <w:lang w:val="ro-RO"/>
        </w:rPr>
        <w:t>Cel Care prin Unul şi Ace</w:t>
      </w:r>
      <w:r>
        <w:rPr>
          <w:i/>
          <w:iCs/>
          <w:spacing w:val="-4"/>
          <w:lang w:val="ro-RO"/>
        </w:rPr>
        <w:softHyphen/>
      </w:r>
      <w:r>
        <w:rPr>
          <w:i/>
          <w:iCs/>
          <w:spacing w:val="-2"/>
          <w:lang w:val="ro-RO"/>
        </w:rPr>
        <w:t xml:space="preserve">laşi Duh Sfânt ai împărţit fiecăruia din cei aleşi darurile, Cel Care ai dăruit Bisericii Tale cete de multe feluri şi trepte de slujire şi le-ai aşezat în ea, spre a sluji sfintelor şi preacuratelor Tale Taine” </w:t>
      </w:r>
      <w:r>
        <w:rPr>
          <w:iCs/>
          <w:spacing w:val="-2"/>
          <w:lang w:val="ro-RO"/>
        </w:rPr>
        <w:t>(</w:t>
      </w:r>
      <w:r>
        <w:rPr>
          <w:i/>
          <w:iCs/>
          <w:spacing w:val="-2"/>
          <w:lang w:val="ro-RO"/>
        </w:rPr>
        <w:t xml:space="preserve">Arhieraticon </w:t>
      </w:r>
      <w:r>
        <w:rPr>
          <w:spacing w:val="-2"/>
          <w:lang w:val="ro-RO"/>
        </w:rPr>
        <w:t>p. 71). Pecetea (</w:t>
      </w:r>
      <w:r w:rsidRPr="00EE0AEF">
        <w:rPr>
          <w:i/>
          <w:spacing w:val="-2"/>
          <w:lang w:val="ro-RO"/>
        </w:rPr>
        <w:t>sphragis</w:t>
      </w:r>
      <w:r>
        <w:rPr>
          <w:spacing w:val="-2"/>
          <w:lang w:val="ro-RO"/>
        </w:rPr>
        <w:t xml:space="preserve">) Ungerii Duhului Sfânt </w:t>
      </w:r>
      <w:r>
        <w:rPr>
          <w:spacing w:val="-2"/>
        </w:rPr>
        <w:t xml:space="preserve">(2 </w:t>
      </w:r>
      <w:r>
        <w:rPr>
          <w:spacing w:val="-2"/>
          <w:lang w:val="ro-RO"/>
        </w:rPr>
        <w:t xml:space="preserve">Cor.1,22; Efes.1,13; 4,30) constituie un caracter sacramental care nu se şterge, de aceea cele trei Taine: Botezul, Mirungerea şi Hirotonia nu pot fi repetate. </w:t>
      </w:r>
      <w:r>
        <w:rPr>
          <w:b/>
          <w:spacing w:val="-9"/>
          <w:lang w:val="ro-RO"/>
        </w:rPr>
        <w:t xml:space="preserve"> </w:t>
      </w:r>
      <w:r>
        <w:rPr>
          <w:spacing w:val="-2"/>
          <w:lang w:val="ro-RO"/>
        </w:rPr>
        <w:t xml:space="preserve">Dacă iconomia ca răscumpărare începe de la Tatăl prin Fiul în </w:t>
      </w:r>
      <w:r>
        <w:rPr>
          <w:lang w:val="ro-RO"/>
        </w:rPr>
        <w:t>Duhul Sfânt, mântuirea personală ca restaurare şi ca sfinţenie începe cu Persoana Duhului Sfânt, Care vine Cel dintâi în inima omului, pregătind cale de intrare şi loc de odihnă lui Iisus nedespărţit de Tatăl</w:t>
      </w:r>
      <w:r>
        <w:rPr>
          <w:rStyle w:val="FootnoteCharacters"/>
          <w:lang w:val="ro-RO"/>
        </w:rPr>
        <w:footnoteReference w:customMarkFollows="1" w:id="2"/>
        <w:t>28</w:t>
      </w:r>
      <w:r>
        <w:rPr>
          <w:lang w:val="ro-RO"/>
        </w:rPr>
        <w:t>.</w:t>
      </w:r>
      <w:r>
        <w:rPr>
          <w:i/>
          <w:iCs/>
          <w:lang w:val="ro-RO"/>
        </w:rPr>
        <w:t xml:space="preserve"> </w:t>
      </w:r>
    </w:p>
    <w:p w:rsidR="006D5BD6" w:rsidRDefault="006D5BD6" w:rsidP="006D5BD6">
      <w:pPr>
        <w:shd w:val="clear" w:color="auto" w:fill="FFFFFF"/>
        <w:spacing w:line="237" w:lineRule="auto"/>
        <w:ind w:left="-630" w:right="-540" w:firstLine="720"/>
        <w:jc w:val="both"/>
        <w:rPr>
          <w:spacing w:val="2"/>
          <w:lang w:val="ro-RO"/>
        </w:rPr>
      </w:pPr>
      <w:r>
        <w:rPr>
          <w:iCs/>
          <w:lang w:val="ro-RO"/>
        </w:rPr>
        <w:t>Partea a doua a soteriologiei este numită mântuirea particulară a omului. De fapt</w:t>
      </w:r>
      <w:r>
        <w:rPr>
          <w:b/>
          <w:iCs/>
          <w:smallCaps/>
          <w:lang w:val="ro-RO"/>
        </w:rPr>
        <w:t xml:space="preserve"> </w:t>
      </w:r>
      <w:r>
        <w:rPr>
          <w:lang w:val="ro-RO"/>
        </w:rPr>
        <w:t xml:space="preserve">iconomia (mântuirii) poate să fie privită sub două aspecte: din partea lui Dumnezeu, adică având în vedere tot ceea ce El a făcut, face şi va face pentru mântuirea omului − aceasta este opera divină de răscumpărare, de restaurare şi de îndreptare a fiinţei umane păcătoase. Aceasta este taina înfierii, taina unirii şi a împăcării celor despărţite prin jertfa lui Iisus, Care a ridicat păcatul lumii (In. 1, 29). Privită din partea omului, mântuirea implică răspunsul </w:t>
      </w:r>
      <w:r>
        <w:rPr>
          <w:lang w:val="ro-RO"/>
        </w:rPr>
        <w:lastRenderedPageBreak/>
        <w:t xml:space="preserve">acestuia la chemarea lui Dumnezeu, mai precis convertirea, conlucrarea liberă cu harul divin, prin credinţă personală şi prin fapte de iubire pentru toţi. Aceasta este sfinţirea, creşterea în </w:t>
      </w:r>
      <w:r>
        <w:rPr>
          <w:spacing w:val="2"/>
          <w:lang w:val="ro-RO"/>
        </w:rPr>
        <w:t xml:space="preserve">desăvârşire sau îndumnezeirea. Astfel, se poate vorbi de versantul răscumpărării generale (aspectul obiectiv), care se referă la schimbarea condiţiei umane prin opera lui Hristos şi de versantul mântuirii personale (aspectul subiectiv).  Am fost mântuiţi </w:t>
      </w:r>
      <w:r>
        <w:rPr>
          <w:i/>
          <w:iCs/>
          <w:spacing w:val="2"/>
          <w:lang w:val="ro-RO"/>
        </w:rPr>
        <w:t xml:space="preserve">în </w:t>
      </w:r>
      <w:r>
        <w:rPr>
          <w:spacing w:val="2"/>
          <w:lang w:val="ro-RO"/>
        </w:rPr>
        <w:t xml:space="preserve">El şi nu </w:t>
      </w:r>
      <w:r>
        <w:rPr>
          <w:i/>
          <w:iCs/>
          <w:spacing w:val="2"/>
          <w:lang w:val="ro-RO"/>
        </w:rPr>
        <w:t xml:space="preserve">de către </w:t>
      </w:r>
      <w:r>
        <w:rPr>
          <w:spacing w:val="2"/>
          <w:lang w:val="ro-RO"/>
        </w:rPr>
        <w:t xml:space="preserve">El, ca un mijlocitor distant. </w:t>
      </w:r>
    </w:p>
    <w:p w:rsidR="006D5BD6" w:rsidRDefault="006D5BD6" w:rsidP="006D5BD6">
      <w:pPr>
        <w:shd w:val="clear" w:color="auto" w:fill="FFFFFF"/>
        <w:tabs>
          <w:tab w:val="left" w:pos="477"/>
        </w:tabs>
        <w:autoSpaceDE w:val="0"/>
        <w:ind w:left="-630" w:right="-540"/>
        <w:jc w:val="both"/>
        <w:rPr>
          <w:lang w:val="ro-RO"/>
        </w:rPr>
      </w:pPr>
      <w:r>
        <w:rPr>
          <w:spacing w:val="2"/>
          <w:lang w:val="ro-RO"/>
        </w:rPr>
        <w:tab/>
        <w:t xml:space="preserve">În cadrul acestui capitol se dezvoltă trei concepte fundamentale pentru Ortodoxie: sinergia, </w:t>
      </w:r>
      <w:r>
        <w:rPr>
          <w:i/>
          <w:spacing w:val="2"/>
          <w:lang w:val="ro-RO"/>
        </w:rPr>
        <w:t>theosis</w:t>
      </w:r>
      <w:r>
        <w:rPr>
          <w:spacing w:val="2"/>
          <w:lang w:val="ro-RO"/>
        </w:rPr>
        <w:t xml:space="preserve"> sau îndumnezeirea şi </w:t>
      </w:r>
      <w:r>
        <w:rPr>
          <w:i/>
          <w:spacing w:val="2"/>
          <w:lang w:val="ro-RO"/>
        </w:rPr>
        <w:t>epectasis</w:t>
      </w:r>
      <w:r>
        <w:rPr>
          <w:spacing w:val="2"/>
          <w:lang w:val="ro-RO"/>
        </w:rPr>
        <w:t xml:space="preserve"> sau nesfârşita ascensiune spirituală. Părintele Bria este primul care a scris despre sinergie în teologia noastră</w:t>
      </w:r>
      <w:r>
        <w:rPr>
          <w:rStyle w:val="FootnoteCharacters"/>
          <w:spacing w:val="2"/>
          <w:lang w:val="ro-RO"/>
        </w:rPr>
        <w:footnoteReference w:customMarkFollows="1" w:id="3"/>
        <w:t>29</w:t>
      </w:r>
      <w:r>
        <w:rPr>
          <w:spacing w:val="2"/>
          <w:lang w:val="ro-RO"/>
        </w:rPr>
        <w:t xml:space="preserve">. </w:t>
      </w:r>
      <w:r>
        <w:rPr>
          <w:lang w:val="ro-RO"/>
        </w:rPr>
        <w:t>Sinergia, scrie părintele profesor, este răspunsul credinciosului la chemarea Duhului Sfânt, cooperarea tainică şi liberă între harul lui Dumnezeu şi voinţa omului. Mântuirea este un act sinergie: „</w:t>
      </w:r>
      <w:r>
        <w:rPr>
          <w:i/>
          <w:iCs/>
          <w:lang w:val="ro-RO"/>
        </w:rPr>
        <w:t xml:space="preserve">Căci niciun folos nu vine din lucrarea omului, fără înrâurire de sus. Dar nici înrâurirea de sus nu vine peste cel care nu o primeşte în chip </w:t>
      </w:r>
      <w:r>
        <w:rPr>
          <w:i/>
          <w:iCs/>
          <w:spacing w:val="2"/>
          <w:lang w:val="ro-RO"/>
        </w:rPr>
        <w:t xml:space="preserve">liber. De amândouă avem trebuinţă: şi de lucrarea dumnezeiască şi de cea omenească” </w:t>
      </w:r>
      <w:r>
        <w:rPr>
          <w:spacing w:val="2"/>
          <w:lang w:val="ro-RO"/>
        </w:rPr>
        <w:t>(Petru Damaschin, „</w:t>
      </w:r>
      <w:r>
        <w:rPr>
          <w:iCs/>
          <w:spacing w:val="2"/>
          <w:lang w:val="ro-RO"/>
        </w:rPr>
        <w:t>Învăţături duhovniceşti”,</w:t>
      </w:r>
      <w:r>
        <w:rPr>
          <w:i/>
          <w:iCs/>
          <w:spacing w:val="2"/>
          <w:lang w:val="ro-RO"/>
        </w:rPr>
        <w:t xml:space="preserve"> </w:t>
      </w:r>
      <w:r>
        <w:rPr>
          <w:spacing w:val="2"/>
          <w:lang w:val="ro-RO"/>
        </w:rPr>
        <w:t xml:space="preserve">I, în </w:t>
      </w:r>
      <w:r>
        <w:rPr>
          <w:i/>
          <w:spacing w:val="2"/>
          <w:lang w:val="ro-RO"/>
        </w:rPr>
        <w:t>Filocalia</w:t>
      </w:r>
      <w:r>
        <w:rPr>
          <w:spacing w:val="2"/>
          <w:lang w:val="ro-RO"/>
        </w:rPr>
        <w:t xml:space="preserve"> V, p. 141), ca de o pereche de aripi. </w:t>
      </w:r>
      <w:r>
        <w:rPr>
          <w:lang w:val="ro-RO"/>
        </w:rPr>
        <w:t xml:space="preserve">Principiul care pune în mişcare sinergia este harul lui Dumnezeu, care nu este un merit, ci se dăruieşte, e gratuit. </w:t>
      </w:r>
      <w:r>
        <w:rPr>
          <w:i/>
          <w:iCs/>
          <w:lang w:val="ro-RO"/>
        </w:rPr>
        <w:t xml:space="preserve">„Acesta nu este de la voi: este darul lui Dumnezeu” </w:t>
      </w:r>
      <w:r>
        <w:rPr>
          <w:lang w:val="ro-RO"/>
        </w:rPr>
        <w:t xml:space="preserve">(Efes. 2, 8). „ </w:t>
      </w:r>
      <w:r>
        <w:rPr>
          <w:i/>
          <w:iCs/>
          <w:lang w:val="ro-RO"/>
        </w:rPr>
        <w:t>Mântuirea ta sunt Eu”</w:t>
      </w:r>
      <w:r>
        <w:rPr>
          <w:lang w:val="ro-RO"/>
        </w:rPr>
        <w:t xml:space="preserve"> (Ps. 34, 3), </w:t>
      </w:r>
      <w:r>
        <w:rPr>
          <w:i/>
          <w:iCs/>
          <w:lang w:val="ro-RO"/>
        </w:rPr>
        <w:t>„Dacă n-ar sta aproape cu iubirea de oameni Hristos, Mântuitorul poporului Său, şi nu S-ar lupta El pentru credincioşi, cu adevărat nu s-ar mântui niciun om, chiar dacă ar fi sfânt”</w:t>
      </w:r>
      <w:r>
        <w:rPr>
          <w:iCs/>
          <w:lang w:val="ro-RO"/>
        </w:rPr>
        <w:t>,</w:t>
      </w:r>
      <w:r>
        <w:rPr>
          <w:i/>
          <w:iCs/>
          <w:lang w:val="ro-RO"/>
        </w:rPr>
        <w:t xml:space="preserve"> </w:t>
      </w:r>
      <w:r>
        <w:rPr>
          <w:lang w:val="ro-RO"/>
        </w:rPr>
        <w:t xml:space="preserve">spun marii asceţi. </w:t>
      </w:r>
      <w:r>
        <w:rPr>
          <w:i/>
          <w:iCs/>
          <w:lang w:val="ro-RO"/>
        </w:rPr>
        <w:t xml:space="preserve">„Nu mă bizui decât pe harul de la Tine, când vorbesc de îndumnezeire şi de unirea mai presus de fire!”. </w:t>
      </w:r>
      <w:r>
        <w:rPr>
          <w:lang w:val="ro-RO"/>
        </w:rPr>
        <w:t>Dar Duhul Sfânt nu cucereşte cu forţa înclinarea voinţei omului: „</w:t>
      </w:r>
      <w:r>
        <w:rPr>
          <w:i/>
          <w:iCs/>
          <w:lang w:val="ro-RO"/>
        </w:rPr>
        <w:t xml:space="preserve">Căci nu naşte Duhul o aplecare a voii, fără voie, ci pe una voită o modelează până la îndumnezeire” </w:t>
      </w:r>
      <w:r>
        <w:rPr>
          <w:lang w:val="ro-RO"/>
        </w:rPr>
        <w:t xml:space="preserve">(Sfântul Maxim Mărturisitorul, </w:t>
      </w:r>
      <w:r>
        <w:rPr>
          <w:i/>
          <w:iCs/>
          <w:lang w:val="ro-RO"/>
        </w:rPr>
        <w:t xml:space="preserve">Răspunsuri către Talasie, </w:t>
      </w:r>
      <w:r>
        <w:rPr>
          <w:lang w:val="ro-RO"/>
        </w:rPr>
        <w:t xml:space="preserve">6). Spiritualitatea răsăriteană a pus un accent deosebit pe acest prim efort al libertăţii de a atrage harul lui Dumnezeu, Care </w:t>
      </w:r>
      <w:r>
        <w:rPr>
          <w:i/>
          <w:iCs/>
          <w:lang w:val="ro-RO"/>
        </w:rPr>
        <w:t xml:space="preserve">„luptă alăturea de noi, ne întinde mâna, ne dă ajutor şi aproape că l-a legat pe duşman în mâinile noastre; face totul ca să-L putem birui, să câştigăm victoria, pentru a pune pe capetele noastre cununa neveştejită... Dar dacă n-ar fi făcut el (Avraam) mai întâi tot ce depindea de el, nu s-ar fi bucurat de purtarea de grijă a lui Dumnezeu” </w:t>
      </w:r>
      <w:r>
        <w:rPr>
          <w:lang w:val="ro-RO"/>
        </w:rPr>
        <w:t xml:space="preserve">(Sfântul Ioan Gură de Aur, </w:t>
      </w:r>
      <w:r>
        <w:rPr>
          <w:i/>
          <w:iCs/>
          <w:lang w:val="ro-RO"/>
        </w:rPr>
        <w:t xml:space="preserve">Omilii la Facere </w:t>
      </w:r>
      <w:r>
        <w:rPr>
          <w:lang w:val="ro-RO"/>
        </w:rPr>
        <w:t>XLII, 1).</w:t>
      </w:r>
    </w:p>
    <w:p w:rsidR="006D5BD6" w:rsidRDefault="006D5BD6" w:rsidP="006D5BD6">
      <w:pPr>
        <w:shd w:val="clear" w:color="auto" w:fill="FFFFFF"/>
        <w:tabs>
          <w:tab w:val="left" w:pos="540"/>
        </w:tabs>
        <w:autoSpaceDE w:val="0"/>
        <w:spacing w:line="244" w:lineRule="auto"/>
        <w:ind w:left="-630" w:right="-540"/>
        <w:jc w:val="both"/>
        <w:rPr>
          <w:lang w:val="ro-RO"/>
        </w:rPr>
      </w:pPr>
      <w:r>
        <w:rPr>
          <w:lang w:val="ro-RO"/>
        </w:rPr>
        <w:t xml:space="preserve"> </w:t>
      </w:r>
      <w:r>
        <w:rPr>
          <w:lang w:val="ro-RO"/>
        </w:rPr>
        <w:tab/>
        <w:t xml:space="preserve">Esenţa mântuirii particulare este înfierea după har, dar aceasta nu este o acţiune unilaterală sau impersonală. Dumnezeu ne apropie în actul morţii lui Hristos, dar Hristos ne trage şi ne uneşte cu Tatăl numai dacă ne predăm liberi Lui, aşa cum El însuşi S-a predat de bunăvoie pe Cruce, când Şi-a dat trupul şi a vărsat sângele pentru lume, ca să facă voia Tatălui. De aceea, cea dintâi exigenţă a mântuirii omului este aceea de a discerne şi de a alege între cele două căi care stau în faţa omului: </w:t>
      </w:r>
      <w:r>
        <w:rPr>
          <w:i/>
          <w:iCs/>
          <w:lang w:val="ro-RO"/>
        </w:rPr>
        <w:t xml:space="preserve">„Iau cerul şi pământul ca martori împotriva voastră astăzi: am pus azi înaintea ta viaţa şi moartea, binecuvântarea şi blestemul, de aceea alege viaţa ca tu şi urmaşii tăi să trăiască, iubind pe Domnul ascultând glasul Lui şi alipindu-te de El, căci aceasta este viaţa ta” </w:t>
      </w:r>
      <w:r>
        <w:rPr>
          <w:lang w:val="ro-RO"/>
        </w:rPr>
        <w:t xml:space="preserve">(Deut. 30, 19-20). </w:t>
      </w:r>
    </w:p>
    <w:p w:rsidR="006D5BD6" w:rsidRDefault="006D5BD6" w:rsidP="006D5BD6">
      <w:pPr>
        <w:shd w:val="clear" w:color="auto" w:fill="FFFFFF"/>
        <w:tabs>
          <w:tab w:val="left" w:pos="540"/>
        </w:tabs>
        <w:autoSpaceDE w:val="0"/>
        <w:spacing w:line="244" w:lineRule="auto"/>
        <w:ind w:left="-630" w:right="-540"/>
        <w:jc w:val="both"/>
        <w:rPr>
          <w:spacing w:val="4"/>
          <w:lang w:val="ro-RO"/>
        </w:rPr>
      </w:pPr>
      <w:r>
        <w:rPr>
          <w:lang w:val="ro-RO"/>
        </w:rPr>
        <w:tab/>
      </w:r>
      <w:r>
        <w:rPr>
          <w:spacing w:val="4"/>
          <w:lang w:val="ro-RO"/>
        </w:rPr>
        <w:t xml:space="preserve"> Mântuirea presupune exercitarea continuă a acestei sinergii:</w:t>
      </w:r>
    </w:p>
    <w:p w:rsidR="006D5BD6" w:rsidRDefault="006D5BD6" w:rsidP="006D5BD6">
      <w:pPr>
        <w:shd w:val="clear" w:color="auto" w:fill="FFFFFF"/>
        <w:ind w:left="-630" w:right="-540" w:firstLine="720"/>
        <w:jc w:val="both"/>
        <w:rPr>
          <w:i/>
          <w:iCs/>
          <w:lang w:val="ro-RO"/>
        </w:rPr>
      </w:pPr>
      <w:r>
        <w:rPr>
          <w:i/>
          <w:iCs/>
          <w:lang w:val="ro-RO"/>
        </w:rPr>
        <w:t>„Botezul nu ia de la noi libertatea voinţei şi puterea de a ne hotărî prin noi înşine, ci abia el ne dăruieşte libertatea, ca să nu mai fim stăpâniţi, silnic şi fără să vrem, de diavolul. De aceea, după Botez, atârnă de noi, fie să stăruim de bunăvoie în poruncile lui Hristos, Stăpânul nostru, în Care ne-am botezat, şi să umblăm pe calea celor poruncite de El, fie să ne abatem de la această cale dreaptă, întorcându-ne prin faptele rele la potrivnicul şi la vrăjmaşul nostru, diavolul.</w:t>
      </w:r>
    </w:p>
    <w:p w:rsidR="006D5BD6" w:rsidRDefault="006D5BD6" w:rsidP="006D5BD6">
      <w:pPr>
        <w:shd w:val="clear" w:color="auto" w:fill="FFFFFF"/>
        <w:ind w:left="-630" w:right="-540" w:firstLine="284"/>
        <w:jc w:val="both"/>
        <w:rPr>
          <w:lang w:val="ro-RO"/>
        </w:rPr>
      </w:pPr>
      <w:r>
        <w:rPr>
          <w:i/>
          <w:iCs/>
          <w:lang w:val="ro-RO"/>
        </w:rPr>
        <w:t xml:space="preserve"> </w:t>
      </w:r>
      <w:r>
        <w:rPr>
          <w:i/>
          <w:iCs/>
          <w:lang w:val="ro-RO"/>
        </w:rPr>
        <w:tab/>
        <w:t xml:space="preserve">Cei care se supun după Botez voii celui rău şi împlinesc cele voite de el se înstrăinează de sfântul sân al Botezului, după cuvântul lui David </w:t>
      </w:r>
      <w:r>
        <w:rPr>
          <w:lang w:val="ro-RO"/>
        </w:rPr>
        <w:t xml:space="preserve">(Ps. 57, 4). </w:t>
      </w:r>
      <w:r>
        <w:rPr>
          <w:i/>
          <w:iCs/>
          <w:lang w:val="ro-RO"/>
        </w:rPr>
        <w:t xml:space="preserve">Căci nu ne schimbăm, nici nu ne mutăm din firea în care am fost zidiţi, ci fiind zidiţi buni de Dumnezeu (căci Dumnezeu nu a făcut răul) şi rămânând neschimbaţi prin firea şi prin natura în care am fost zidiţi, cele ce le alegem şi le voim prin socotinţa de bunăvoie, pe acelea le şi facem, fie bune, fie rele” </w:t>
      </w:r>
      <w:r>
        <w:rPr>
          <w:lang w:val="ro-RO"/>
        </w:rPr>
        <w:t xml:space="preserve">(Simeon Noul Teolog, </w:t>
      </w:r>
      <w:r>
        <w:rPr>
          <w:i/>
          <w:iCs/>
          <w:lang w:val="ro-RO"/>
        </w:rPr>
        <w:t xml:space="preserve">Capete teologice </w:t>
      </w:r>
      <w:r>
        <w:rPr>
          <w:lang w:val="ro-RO"/>
        </w:rPr>
        <w:t>89).</w:t>
      </w:r>
    </w:p>
    <w:p w:rsidR="006D5BD6" w:rsidRDefault="006D5BD6" w:rsidP="006D5BD6">
      <w:pPr>
        <w:shd w:val="clear" w:color="auto" w:fill="FFFFFF"/>
        <w:spacing w:line="237" w:lineRule="auto"/>
        <w:ind w:left="-630" w:right="-540" w:firstLine="284"/>
        <w:jc w:val="both"/>
        <w:rPr>
          <w:i/>
          <w:lang w:val="ro-RO"/>
        </w:rPr>
      </w:pPr>
      <w:r>
        <w:rPr>
          <w:i/>
          <w:iCs/>
          <w:lang w:val="ro-RO"/>
        </w:rPr>
        <w:lastRenderedPageBreak/>
        <w:t xml:space="preserve"> </w:t>
      </w:r>
      <w:r>
        <w:rPr>
          <w:i/>
          <w:iCs/>
          <w:lang w:val="ro-RO"/>
        </w:rPr>
        <w:tab/>
      </w:r>
      <w:r>
        <w:rPr>
          <w:iCs/>
          <w:lang w:val="ro-RO"/>
        </w:rPr>
        <w:t>Cu referire la îndumnezeirea omului, părintele observă: „</w:t>
      </w:r>
      <w:r>
        <w:rPr>
          <w:lang w:val="ro-RO"/>
        </w:rPr>
        <w:t xml:space="preserve"> Contribuţia cea mai importantă a teologiei ortodoxe constă în aceea de a compara </w:t>
      </w:r>
      <w:r>
        <w:rPr>
          <w:bCs/>
          <w:lang w:val="ro-RO"/>
        </w:rPr>
        <w:t>asemănarea</w:t>
      </w:r>
      <w:r>
        <w:rPr>
          <w:b/>
          <w:bCs/>
          <w:lang w:val="ro-RO"/>
        </w:rPr>
        <w:t xml:space="preserve"> </w:t>
      </w:r>
      <w:r>
        <w:rPr>
          <w:lang w:val="ro-RO"/>
        </w:rPr>
        <w:t xml:space="preserve">cu Dumnezeu, despre care vorbeşte Facerea, cu </w:t>
      </w:r>
      <w:r>
        <w:rPr>
          <w:bCs/>
          <w:lang w:val="ro-RO"/>
        </w:rPr>
        <w:t>îndumnezeirea</w:t>
      </w:r>
      <w:r>
        <w:rPr>
          <w:b/>
          <w:bCs/>
          <w:lang w:val="ro-RO"/>
        </w:rPr>
        <w:t xml:space="preserve">. </w:t>
      </w:r>
      <w:r>
        <w:rPr>
          <w:lang w:val="ro-RO"/>
        </w:rPr>
        <w:t xml:space="preserve">Fiinţa umană creată după chipul lui Dumnezeu, după căderea lui Adam din rai, prin neascultare, n-a pierdut acest chip, deşi nu mai cunoaşte valoarea acestuia, în schimb, a pierdut asemănarea cu Dumnezeu, (Grigorie Palama, </w:t>
      </w:r>
      <w:r>
        <w:rPr>
          <w:i/>
          <w:iCs/>
          <w:lang w:val="ro-RO"/>
        </w:rPr>
        <w:t xml:space="preserve">Capete despre cunoaşterea lui Dumnezeu, </w:t>
      </w:r>
      <w:r>
        <w:rPr>
          <w:lang w:val="ro-RO"/>
        </w:rPr>
        <w:t>39). Cu Întruparea lui Iisus Hristos, omul este rechemat să facă acest parcurs de la chip la asemănare, nu în sens de devenire şi de imitare naturală, ci în sens de împărtăşire de slava lui Dumnezeu, o schimbare la faţă după exemplul lui Iisus, până ce Hristos, Arhetipul (Efes. 4, 13), pune forma Sa pe chipul uman (Gal. 4, 14). Creştinul are, atunci, o identitate nouă, devine o făptură nouă (II Cor. 5, 17), revine la „frumuseţea originară” (kalos)”.</w:t>
      </w:r>
      <w:r>
        <w:rPr>
          <w:i/>
          <w:lang w:val="ro-RO"/>
        </w:rPr>
        <w:t xml:space="preserve"> </w:t>
      </w:r>
    </w:p>
    <w:p w:rsidR="006D5BD6" w:rsidRDefault="006D5BD6" w:rsidP="006D5BD6">
      <w:pPr>
        <w:shd w:val="clear" w:color="auto" w:fill="FFFFFF"/>
        <w:ind w:left="-630" w:right="-540" w:firstLine="720"/>
        <w:jc w:val="both"/>
        <w:rPr>
          <w:spacing w:val="-2"/>
          <w:lang w:val="ro-RO"/>
        </w:rPr>
      </w:pPr>
      <w:r>
        <w:rPr>
          <w:lang w:val="ro-RO"/>
        </w:rPr>
        <w:t xml:space="preserve">Texte clasice despre </w:t>
      </w:r>
      <w:r>
        <w:rPr>
          <w:bCs/>
          <w:lang w:val="ro-RO"/>
        </w:rPr>
        <w:t>asemănare</w:t>
      </w:r>
      <w:r>
        <w:rPr>
          <w:b/>
          <w:bCs/>
          <w:lang w:val="ro-RO"/>
        </w:rPr>
        <w:t xml:space="preserve"> </w:t>
      </w:r>
      <w:r>
        <w:rPr>
          <w:bCs/>
          <w:lang w:val="ro-RO"/>
        </w:rPr>
        <w:t>ca</w:t>
      </w:r>
      <w:r>
        <w:rPr>
          <w:b/>
          <w:bCs/>
          <w:lang w:val="ro-RO"/>
        </w:rPr>
        <w:t xml:space="preserve"> </w:t>
      </w:r>
      <w:r>
        <w:rPr>
          <w:lang w:val="ro-RO"/>
        </w:rPr>
        <w:t>în-</w:t>
      </w:r>
      <w:r>
        <w:rPr>
          <w:bCs/>
          <w:lang w:val="ro-RO"/>
        </w:rPr>
        <w:t>dumnezeire</w:t>
      </w:r>
      <w:r>
        <w:rPr>
          <w:b/>
          <w:bCs/>
          <w:lang w:val="ro-RO"/>
        </w:rPr>
        <w:t xml:space="preserve"> </w:t>
      </w:r>
      <w:r>
        <w:rPr>
          <w:lang w:val="ro-RO"/>
        </w:rPr>
        <w:t xml:space="preserve">ne-au lăsat îndeosebi Sfinţii Grigorie de Nyssa, Maxim Mărturisitorul, Simeon Noul Teolog, Grigorie Palama. Sensul îndumnezeirii, care se întemeiază pe doctrina despre distincţia dintre supraesenţa </w:t>
      </w:r>
      <w:r>
        <w:rPr>
          <w:spacing w:val="-2"/>
          <w:lang w:val="ro-RO"/>
        </w:rPr>
        <w:t>Dum</w:t>
      </w:r>
      <w:r>
        <w:rPr>
          <w:spacing w:val="-2"/>
          <w:lang w:val="ro-RO"/>
        </w:rPr>
        <w:softHyphen/>
        <w:t xml:space="preserve">nezeirii sau a fiinţei lui Dumnezeu şi energiile eterne şi necreate existente în Dumnezeu, a fost revelat în teologia contemporană de Părintele Dumitru Stăniloae </w:t>
      </w:r>
      <w:r>
        <w:rPr>
          <w:i/>
          <w:iCs/>
          <w:spacing w:val="-2"/>
          <w:lang w:val="ro-RO"/>
        </w:rPr>
        <w:t xml:space="preserve">(Teologia dogmatică ortodoxă, </w:t>
      </w:r>
      <w:r>
        <w:rPr>
          <w:spacing w:val="-2"/>
          <w:lang w:val="ro-RO"/>
        </w:rPr>
        <w:t xml:space="preserve">vol. 2, p. 303-364; </w:t>
      </w:r>
      <w:r>
        <w:rPr>
          <w:i/>
          <w:iCs/>
          <w:spacing w:val="-2"/>
          <w:lang w:val="ro-RO"/>
        </w:rPr>
        <w:t xml:space="preserve">Spiritualitatea ortodoxă, </w:t>
      </w:r>
      <w:r>
        <w:rPr>
          <w:spacing w:val="-2"/>
          <w:lang w:val="ro-RO"/>
        </w:rPr>
        <w:t>p. 254-319)</w:t>
      </w:r>
      <w:r>
        <w:rPr>
          <w:rStyle w:val="FootnoteCharacters"/>
          <w:spacing w:val="-2"/>
          <w:lang w:val="ro-RO"/>
        </w:rPr>
        <w:footnoteReference w:customMarkFollows="1" w:id="4"/>
        <w:t>30</w:t>
      </w:r>
      <w:r>
        <w:rPr>
          <w:spacing w:val="-2"/>
          <w:lang w:val="ro-RO"/>
        </w:rPr>
        <w:t>.</w:t>
      </w:r>
    </w:p>
    <w:p w:rsidR="006D5BD6" w:rsidRDefault="006D5BD6" w:rsidP="006D5BD6">
      <w:pPr>
        <w:tabs>
          <w:tab w:val="left" w:pos="540"/>
          <w:tab w:val="left" w:pos="720"/>
        </w:tabs>
        <w:ind w:left="-630" w:right="-540" w:firstLine="720"/>
        <w:jc w:val="both"/>
        <w:rPr>
          <w:lang w:val="fr-FR"/>
        </w:rPr>
      </w:pPr>
      <w:r>
        <w:rPr>
          <w:lang w:val="ro-RO"/>
        </w:rPr>
        <w:t>În prezentarea acestei secţiuni importante am dori să mai adăugăm câteva elemente în continuarea celor evidenţiate de părintele Bria. Doctrina despre îndumnezeirea omului este „un punct central al teologiei, asceticii şi misticii Bisericii Ortodoxe”</w:t>
      </w:r>
      <w:r>
        <w:rPr>
          <w:rStyle w:val="FootnoteCharacters"/>
        </w:rPr>
        <w:footnoteReference w:customMarkFollows="1" w:id="5"/>
        <w:t>31</w:t>
      </w:r>
      <w:r>
        <w:rPr>
          <w:lang w:val="ro-RO"/>
        </w:rPr>
        <w:t>. Aceast</w:t>
      </w:r>
      <w:r>
        <w:t xml:space="preserve">ă învăţătură derivă din Sfânta Scriptură, dar există şi analogii cu filosofia greacă, mai ales cu privire la terminologia folosită, limbajul biblic punând un accent deosebit pe transcendenţa lui Dumnezeu. Totuşi, multe texte din Sfintele Evanghelii şi din scrierile apostolice au fost asumate ulterior de Părinţi, ca fundamente ale doctrinei lor despre îndumnezeire. Mântuitorul vorbeşte despre poporul ales ca despre „dumnezei”, citând </w:t>
      </w:r>
      <w:r>
        <w:rPr>
          <w:i/>
        </w:rPr>
        <w:t>Psalmul</w:t>
      </w:r>
      <w:r>
        <w:t xml:space="preserve"> 81/82,6 (In.10,34). În </w:t>
      </w:r>
      <w:r>
        <w:rPr>
          <w:i/>
        </w:rPr>
        <w:t>corpus-</w:t>
      </w:r>
      <w:r>
        <w:t xml:space="preserve">ul ioaneic găsim învăţătura despre înfiere (In.1,12) şi asemănare cu Dumnezeu (I In.3,2).  </w:t>
      </w:r>
      <w:r>
        <w:rPr>
          <w:lang w:val="fr-FR"/>
        </w:rPr>
        <w:t>II Pt.1,4 se referă explicit la îndumnezeire</w:t>
      </w:r>
      <w:r>
        <w:rPr>
          <w:rStyle w:val="FootnoteCharacters"/>
        </w:rPr>
        <w:footnoteReference w:customMarkFollows="1" w:id="6"/>
        <w:t>32</w:t>
      </w:r>
      <w:r>
        <w:rPr>
          <w:lang w:val="fr-FR"/>
        </w:rPr>
        <w:t>. În epistolele pauline se află dezvoltat conceptul biblic al chipului lui Dumnezeu în om şi al asemănării cu El (cf.Rm.8,29; I Cor</w:t>
      </w:r>
      <w:r>
        <w:rPr>
          <w:i/>
          <w:lang w:val="fr-FR"/>
        </w:rPr>
        <w:t>.</w:t>
      </w:r>
      <w:r>
        <w:rPr>
          <w:lang w:val="fr-FR"/>
        </w:rPr>
        <w:t>15,49; II Cor.3,18; Col.3,10); idee participării noastre la nemurirea lui Dumnezeu (ICor.15,53); doctrina înfierii noastre de către Dumnezeu (Gal.3,26; 4,5); imaginea trupului omului ca templu al Duhului Sfânt (I Cor.3,16). Viziunea eshatologică a Sfântului Apostol Pavel se caracterizează prin ideea unei stări slăvite a omului după înviere, când va fi restaurat şi transfigurat de Hristos, Cel care este Capul (Rm.8,18-23; Efes.1,10), când Hristos va fi „totul întru toţi” (I Cor.15,28)</w:t>
      </w:r>
      <w:r>
        <w:rPr>
          <w:rStyle w:val="FootnoteCharacters"/>
        </w:rPr>
        <w:footnoteReference w:customMarkFollows="1" w:id="7"/>
        <w:t>33</w:t>
      </w:r>
      <w:r>
        <w:rPr>
          <w:lang w:val="fr-FR"/>
        </w:rPr>
        <w:t xml:space="preserve">. </w:t>
      </w:r>
    </w:p>
    <w:p w:rsidR="006D5BD6" w:rsidRDefault="006D5BD6" w:rsidP="006D5BD6">
      <w:pPr>
        <w:tabs>
          <w:tab w:val="left" w:pos="540"/>
          <w:tab w:val="left" w:pos="720"/>
        </w:tabs>
        <w:ind w:left="-630" w:right="-540" w:firstLine="720"/>
        <w:jc w:val="both"/>
        <w:rPr>
          <w:lang w:val="fr-FR"/>
        </w:rPr>
      </w:pPr>
      <w:r>
        <w:rPr>
          <w:lang w:val="fr-FR"/>
        </w:rPr>
        <w:t xml:space="preserve">Aceste învăţături nou-testamentare şi-au găsit dezvoltarea la Părinţii din secolul al II-lea. Sfântul Ignatie îi numeşte pe creştini </w:t>
      </w:r>
      <w:r>
        <w:rPr>
          <w:i/>
          <w:lang w:val="fr-FR"/>
        </w:rPr>
        <w:t>theophoroi</w:t>
      </w:r>
      <w:r>
        <w:rPr>
          <w:lang w:val="fr-FR"/>
        </w:rPr>
        <w:t xml:space="preserve"> – purtători de Dumnezeu</w:t>
      </w:r>
      <w:r>
        <w:rPr>
          <w:rStyle w:val="FootnoteCharacters"/>
        </w:rPr>
        <w:footnoteReference w:customMarkFollows="1" w:id="8"/>
        <w:t>34</w:t>
      </w:r>
      <w:r>
        <w:rPr>
          <w:lang w:val="fr-FR"/>
        </w:rPr>
        <w:t xml:space="preserve">, vorbind despre unirea cu Dumnezeu şi </w:t>
      </w:r>
      <w:r>
        <w:rPr>
          <w:lang w:val="fr-FR"/>
        </w:rPr>
        <w:lastRenderedPageBreak/>
        <w:t>participarea lor la El</w:t>
      </w:r>
      <w:r>
        <w:rPr>
          <w:rStyle w:val="FootnoteCharacters"/>
        </w:rPr>
        <w:footnoteReference w:customMarkFollows="1" w:id="9"/>
        <w:t>35</w:t>
      </w:r>
      <w:r>
        <w:rPr>
          <w:lang w:val="fr-FR"/>
        </w:rPr>
        <w:t>. La Sfântul Irineu găsim conceptul de „recapitulare”, întoarcerea omenirii la starea primordială prin participarea la Hristos, Cel care a „ devenit ceea ce suntem noi, pentru ca noi să devenim ceea ce este El”</w:t>
      </w:r>
      <w:r>
        <w:rPr>
          <w:rStyle w:val="FootnoteCharacters"/>
        </w:rPr>
        <w:footnoteReference w:customMarkFollows="1" w:id="10"/>
        <w:t>36</w:t>
      </w:r>
      <w:r>
        <w:rPr>
          <w:lang w:val="fr-FR"/>
        </w:rPr>
        <w:t>, „ Fiul lui Dumnezeu a devenit fiu al omului, pentru ca omul  să devină fiu al lui Dumnezeu”</w:t>
      </w:r>
      <w:r>
        <w:rPr>
          <w:rStyle w:val="FootnoteCharacters"/>
        </w:rPr>
        <w:footnoteReference w:customMarkFollows="1" w:id="11"/>
        <w:t>37</w:t>
      </w:r>
      <w:r>
        <w:rPr>
          <w:lang w:val="fr-FR"/>
        </w:rPr>
        <w:t xml:space="preserve">. Clement Alexandrinul va folosi pentru prima dată verbul </w:t>
      </w:r>
      <w:r>
        <w:rPr>
          <w:i/>
          <w:lang w:val="fr-FR"/>
        </w:rPr>
        <w:t>theopoieo</w:t>
      </w:r>
      <w:r>
        <w:rPr>
          <w:lang w:val="fr-FR"/>
        </w:rPr>
        <w:t xml:space="preserve"> - a îndumnezei, când va spune: „Cuvântul îl îndumnezeieşte pe om prin învăţătura Sa cerască”</w:t>
      </w:r>
      <w:r>
        <w:rPr>
          <w:rStyle w:val="FootnoteCharacters"/>
        </w:rPr>
        <w:footnoteReference w:customMarkFollows="1" w:id="12"/>
        <w:t>38</w:t>
      </w:r>
      <w:r>
        <w:rPr>
          <w:lang w:val="fr-FR"/>
        </w:rPr>
        <w:t>.</w:t>
      </w:r>
    </w:p>
    <w:p w:rsidR="006D5BD6" w:rsidRDefault="006D5BD6" w:rsidP="006D5BD6">
      <w:pPr>
        <w:tabs>
          <w:tab w:val="left" w:pos="540"/>
          <w:tab w:val="left" w:pos="720"/>
        </w:tabs>
        <w:ind w:left="-630" w:right="-540" w:firstLine="720"/>
        <w:jc w:val="both"/>
        <w:rPr>
          <w:lang w:val="fr-FR"/>
        </w:rPr>
      </w:pPr>
      <w:r>
        <w:rPr>
          <w:lang w:val="fr-FR"/>
        </w:rPr>
        <w:t xml:space="preserve">Prea Sfinţitul Hilarion Alfeyev afirmă că doctrina despre îndumnezeire a fost pe deplin stabilită în teologia patristică în secolul al IV-lea, datorită polemicii cu arienii. Formula clasică o găsim la Sfântul Atanasie cel Mare: </w:t>
      </w:r>
      <w:r>
        <w:rPr>
          <w:i/>
          <w:lang w:val="fr-FR"/>
        </w:rPr>
        <w:t>Autos enenthropesen hina hemeis theopoiethomen-</w:t>
      </w:r>
      <w:r>
        <w:rPr>
          <w:lang w:val="fr-FR"/>
        </w:rPr>
        <w:t xml:space="preserve"> El S-a înomenit, pentru ca noi să ne îndumnezeim. Pentru Sfântul Atanasie, ca şi pentru Părinţii ulteriori, Întruparea Cuvântului este unica bază a îndumnezeirii noastre. Se face o distincţie ontologică evidentă între adoptarea noastră de către Dumnezeu şi îndumnezeirea noastră, şi calitatea de fiu a lui hristos şi dumenzeirea Sa: „Căci precum Fiul Cel adevărat şi Unul născut, fiind unul prin fire, ne facem şi noi fii, nu ca Acela prin fire şi întru adevăr, ci după harul Celui ce ne-a chemat, că fiind noi oameni din pământ ne numim fii, nu ca Dumnezeu Cel adevărat, sau ca Cuvântul Lui, ci precum a voit Dumnezeu care ne-a dăruit aceasta”</w:t>
      </w:r>
      <w:r>
        <w:rPr>
          <w:rStyle w:val="FootnoteCharacters"/>
        </w:rPr>
        <w:footnoteReference w:customMarkFollows="1" w:id="13"/>
        <w:t>39</w:t>
      </w:r>
      <w:r>
        <w:rPr>
          <w:lang w:val="fr-FR"/>
        </w:rPr>
        <w:t>.</w:t>
      </w:r>
    </w:p>
    <w:p w:rsidR="006D5BD6" w:rsidRDefault="006D5BD6" w:rsidP="006D5BD6">
      <w:pPr>
        <w:tabs>
          <w:tab w:val="left" w:pos="540"/>
          <w:tab w:val="left" w:pos="720"/>
        </w:tabs>
        <w:ind w:left="-630" w:right="-540"/>
        <w:jc w:val="both"/>
        <w:rPr>
          <w:lang w:val="fr-FR"/>
        </w:rPr>
      </w:pPr>
      <w:r>
        <w:rPr>
          <w:lang w:val="fr-FR"/>
        </w:rPr>
        <w:t xml:space="preserve">            Sfinţii Părinţi capadocieni au învăţat despre îndumnezeirea omului. Este foarte cunoscută afirmaţia Sfântului Grigorie Teologul: „ </w:t>
      </w:r>
      <w:r>
        <w:rPr>
          <w:i/>
          <w:lang w:val="fr-FR"/>
        </w:rPr>
        <w:t xml:space="preserve">hina ghenomai tosouton theos hosan ekeinos anthropos- </w:t>
      </w:r>
      <w:r>
        <w:rPr>
          <w:lang w:val="fr-FR"/>
        </w:rPr>
        <w:t>ca să mă fac atâta Dumnezeu, cât Acela S-a făcut om”</w:t>
      </w:r>
      <w:r>
        <w:rPr>
          <w:rStyle w:val="FootnoteCharacters"/>
        </w:rPr>
        <w:footnoteReference w:customMarkFollows="1" w:id="14"/>
        <w:t>40</w:t>
      </w:r>
      <w:r>
        <w:rPr>
          <w:lang w:val="fr-FR"/>
        </w:rPr>
        <w:t>. Această afirmaţie poate da naştere la confuzii, întrucât Fiul a enipostaziat natura umană, a asumat-o ca pe propria Sa natură, fiind Arhetipul şi împlinirea omului, în timp ce omul nu-şi asumă natura divină ca pe propria sa natură, ci prin participare. Hristos, prin asumarea tuturor, devine şi Ipostasul nostru superior, noi devenim „Dumnezeu” pentru că El se arată tot mai clar în noi, pe măsura efortului etic-ascetic al despătimirii. În nota explicativă la acest text, părintele Stănilaoe, traducătorul acestor cuvântări, scria: „Dumnezeu, făcându-Se ipostas al umanităţii, fără să o desfiinţeze pe aceasta, prin strânsa îmbibare cu dumnezeirea în El, nu numai Dumnezeu S-a făcut om, ci şi omul s-a făcut Dumenzeu, căci ceea ce este superior înalţă la calitatea Sa ceea ce este inferior. Aceasta este îndumnezeirea umanului în El. Iar unindu-mă cu el prein credinţă, sau El devenind într-un fel şi în mine, Subiectul (ipostasul) principal, mă fac şi eu atât de mult Dumnezeu, cât de mult Se face el în mine om; sau pe cât Se umanizează El mai mult în mine în sensul înnobilării mele, sau al desăvârşirii mele ca om, pe atât mă fac eu mai mult Dumnezeu. Umanul urcând la înălţimea lui prin dumnezeire, se face Dumnezeu, nu prin fiinţă, ci prin har, deci numai prin unire cu Dumnezeu (...). Aceasta înseamnă că omul a fost creat cu virtualitatea de-a se îndumnezei prin conlucrarea cu Dumnezeu, deci a fost creat de Dumnezeu ca, în omul care se deschide lucrării lui Dumnezeu, să Se arate şi El cât mai clar”</w:t>
      </w:r>
      <w:r>
        <w:rPr>
          <w:rStyle w:val="FootnoteCharacters"/>
        </w:rPr>
        <w:footnoteReference w:customMarkFollows="1" w:id="15"/>
        <w:t>41</w:t>
      </w:r>
      <w:r>
        <w:rPr>
          <w:lang w:val="fr-FR"/>
        </w:rPr>
        <w:t xml:space="preserve">.   </w:t>
      </w:r>
    </w:p>
    <w:p w:rsidR="006D5BD6" w:rsidRDefault="006D5BD6" w:rsidP="006D5BD6">
      <w:pPr>
        <w:tabs>
          <w:tab w:val="left" w:pos="540"/>
          <w:tab w:val="left" w:pos="720"/>
        </w:tabs>
        <w:ind w:left="-630" w:right="-540" w:firstLine="720"/>
        <w:jc w:val="both"/>
        <w:rPr>
          <w:lang w:val="fr-FR"/>
        </w:rPr>
      </w:pPr>
      <w:r>
        <w:rPr>
          <w:lang w:val="fr-FR"/>
        </w:rPr>
        <w:t xml:space="preserve">Dificultatea expresiei în analiză reiese şi din faptul că este preluată de Sfântul Maxim Mărturisitorul în lucrarea sa intituală: </w:t>
      </w:r>
      <w:r>
        <w:rPr>
          <w:i/>
          <w:lang w:val="fr-FR"/>
        </w:rPr>
        <w:t>Ambigua</w:t>
      </w:r>
      <w:r>
        <w:rPr>
          <w:lang w:val="fr-FR"/>
        </w:rPr>
        <w:t xml:space="preserve">. Din smerenie Sfântul Maxim scrie: „ Iar cuvintele: &lt;&lt; ca să devin eu dumnezeu atât de mult pe cât S-a făcut Acela om&gt;&gt; nu este mie a le spune, cel întinat de păcat şi fără nici un dor după viaţa cu adevărat existentă, ci vouă, care prin lepădarea desăvârşită a firii, lăsaţi să se vadă în voi numai harul şi aveţi să primiţi atât de mult din partea Lui, cât S-a împărtăşit Dumnezeu prin întrupare de neputinţa noastră. Căci El măsoară, precum singur ştie, îndumnezeirea celor ce se mântuiesc prin har cu smerirea (chenoza) Lui. Pentru că aceştia vor fi întregi după chipul lui Dumnezeu şi vor primi pe Dumnezeu întreg şi numai ai Lui vor fi. Aceasta este desăvârşirea spre care se silesc cei ce cred că vor primi cu adevărat </w:t>
      </w:r>
      <w:r>
        <w:rPr>
          <w:lang w:val="fr-FR"/>
        </w:rPr>
        <w:lastRenderedPageBreak/>
        <w:t>făgăduinţa”</w:t>
      </w:r>
      <w:r>
        <w:rPr>
          <w:rStyle w:val="FootnoteCharacters"/>
        </w:rPr>
        <w:footnoteReference w:customMarkFollows="1" w:id="16"/>
        <w:t>42</w:t>
      </w:r>
      <w:r>
        <w:rPr>
          <w:lang w:val="fr-FR"/>
        </w:rPr>
        <w:t>. Explicaţia culminează cu afirmaţia potrivit căreia „Dumnezeu şi omul îşi sunt unul altuia modele –</w:t>
      </w:r>
      <w:r>
        <w:rPr>
          <w:i/>
          <w:lang w:val="fr-FR"/>
        </w:rPr>
        <w:t xml:space="preserve"> paradigmata ton allelon</w:t>
      </w:r>
      <w:r>
        <w:rPr>
          <w:lang w:val="fr-FR"/>
        </w:rPr>
        <w:t>”</w:t>
      </w:r>
      <w:r>
        <w:rPr>
          <w:rStyle w:val="FootnoteCharacters"/>
        </w:rPr>
        <w:footnoteReference w:customMarkFollows="1" w:id="17"/>
        <w:t>43</w:t>
      </w:r>
      <w:r>
        <w:rPr>
          <w:lang w:val="fr-FR"/>
        </w:rPr>
        <w:t>. După ce aduce lămuriri în privinţa celor trei mişcări ale sufletului</w:t>
      </w:r>
      <w:r w:rsidRPr="007100B2">
        <w:rPr>
          <w:color w:val="FF0000"/>
          <w:lang w:val="fr-FR"/>
        </w:rPr>
        <w:t>:</w:t>
      </w:r>
      <w:r>
        <w:rPr>
          <w:lang w:val="fr-FR"/>
        </w:rPr>
        <w:t xml:space="preserve"> după minte, după raţiune şi după simţire, Sfântul Maxim ne spune că cei care au reuşit să iasă din împrăştiere, să se adune „în întregime la Dumnezeu, s-au învrednicit să se unească întregi cu Dumnezeu întreg, prin Duh, purtând, pe cât este cu putinţă oamenilor, întregul chip al Celui ceresc şi atrăgând aşa de mult în ei înfăţişearea dumnezeiască, pe cât de mult erau atraşi ei, s-au unit cu Dumnezeu, dacă este îngăduit să se spună astfel. Căci se zice că Dumnezeu şi omul îşi sunt unul altuia modele. Şi aşa de mult S-a făcut Dumnezeu omului om pentru iubirea de oameni, pe cât de mult omul, întărit prin iubire, s-a putut îndumnezei pe sine, lui Dumnezeu; şi aşa de mult a fost răpit omul prin minte de Dumnezeu spre cunoaştere, pe cât de mult omul a făcut arătat pe Dumnezeu, Cel prin fire nevăzut, prin virtuţi”</w:t>
      </w:r>
      <w:r>
        <w:rPr>
          <w:rStyle w:val="FootnoteCharacters"/>
        </w:rPr>
        <w:footnoteReference w:customMarkFollows="1" w:id="18"/>
        <w:t>44</w:t>
      </w:r>
      <w:r>
        <w:rPr>
          <w:lang w:val="fr-FR"/>
        </w:rPr>
        <w:t xml:space="preserve">. Părintele Stăniloae dă explicaţii </w:t>
      </w:r>
      <w:r w:rsidRPr="007100B2">
        <w:rPr>
          <w:lang w:val="fr-FR"/>
        </w:rPr>
        <w:t>am</w:t>
      </w:r>
      <w:r>
        <w:rPr>
          <w:lang w:val="fr-FR"/>
        </w:rPr>
        <w:t>p</w:t>
      </w:r>
      <w:r w:rsidRPr="007100B2">
        <w:rPr>
          <w:lang w:val="fr-FR"/>
        </w:rPr>
        <w:t xml:space="preserve">le </w:t>
      </w:r>
      <w:r>
        <w:rPr>
          <w:lang w:val="fr-FR"/>
        </w:rPr>
        <w:t xml:space="preserve"> la acest text în notele sale, redăm doar un fragment: „Dumnezeu este modelul al cărui chip s-a făcut omul devenit sfânt; iar omul devenit sfânt este modelul după care S-a înomenit Dumnezeu”</w:t>
      </w:r>
      <w:r>
        <w:rPr>
          <w:rStyle w:val="FootnoteCharacters"/>
        </w:rPr>
        <w:footnoteReference w:customMarkFollows="1" w:id="19"/>
        <w:t>45</w:t>
      </w:r>
      <w:r>
        <w:rPr>
          <w:lang w:val="fr-FR"/>
        </w:rPr>
        <w:t>.</w:t>
      </w:r>
    </w:p>
    <w:p w:rsidR="006D5BD6" w:rsidRDefault="006D5BD6" w:rsidP="006D5BD6">
      <w:pPr>
        <w:tabs>
          <w:tab w:val="left" w:pos="540"/>
          <w:tab w:val="left" w:pos="720"/>
        </w:tabs>
        <w:ind w:left="-630" w:right="-540" w:firstLine="720"/>
        <w:jc w:val="both"/>
        <w:rPr>
          <w:i/>
          <w:lang w:val="fr-FR"/>
        </w:rPr>
      </w:pPr>
      <w:r>
        <w:rPr>
          <w:lang w:val="fr-FR"/>
        </w:rPr>
        <w:t>M.D.Nispel considera că este curios să se constate ponderea mare pe care o are mântuirea înţeleasă ca îndumnezeire în teologia Părinţilor răsăriteni şi cât de puţină atenţie au acordat teologii apuseni acestei învăţături</w:t>
      </w:r>
      <w:r>
        <w:rPr>
          <w:rStyle w:val="FootnoteCharacters"/>
        </w:rPr>
        <w:footnoteReference w:customMarkFollows="1" w:id="20"/>
        <w:t>46</w:t>
      </w:r>
      <w:r>
        <w:rPr>
          <w:lang w:val="fr-FR"/>
        </w:rPr>
        <w:t>. Chiar şi în tratatele ştiinţifice moderne despre dezvoltarea doctrinei se trece peste această temă, fără a i se acorda prea mult interes</w:t>
      </w:r>
      <w:r>
        <w:rPr>
          <w:rStyle w:val="FootnoteCharacters"/>
        </w:rPr>
        <w:footnoteReference w:customMarkFollows="1" w:id="21"/>
        <w:t>47</w:t>
      </w:r>
      <w:r>
        <w:rPr>
          <w:lang w:val="fr-FR"/>
        </w:rPr>
        <w:t>. Dar neglijarea conceptului de îndumnezeire în cercetarea apuseană reflectă cu acurateţe rolul istoric minor pe care l-a avut această învăţătură în teologia latină. Se pare că Apusul augustinian s-a rezumat la a cita expresii cum ar fi cea a Sfântului Atanasie cel Mare : „El S-a făcut om, pentru ca omul să devină dumnezeu”</w:t>
      </w:r>
      <w:r>
        <w:rPr>
          <w:rStyle w:val="FootnoteCharacters"/>
        </w:rPr>
        <w:footnoteReference w:customMarkFollows="1" w:id="22"/>
        <w:t>48</w:t>
      </w:r>
      <w:r>
        <w:rPr>
          <w:lang w:val="fr-FR"/>
        </w:rPr>
        <w:t>. Puţina atenţie acordată în Apus temei îndumnezeirii s-a concretizat în anumite lucrări despre teologia anumitor Părinţi răsăriteni, cum ar fi: Clement Alexandrinul, Sfântul Atanasie cel Mare sau Sfântul Chiril al Alexandriei</w:t>
      </w:r>
      <w:r>
        <w:rPr>
          <w:rStyle w:val="FootnoteCharacters"/>
        </w:rPr>
        <w:footnoteReference w:customMarkFollows="1" w:id="23"/>
        <w:t>49</w:t>
      </w:r>
      <w:r>
        <w:rPr>
          <w:lang w:val="fr-FR"/>
        </w:rPr>
        <w:t>. Acestea s-au scris şi pentru a contracara accentul pus, în anumite abordări mai generale, pe mediul elenistic în care au vieţuit primii Părinţi bisericeşti</w:t>
      </w:r>
      <w:r>
        <w:rPr>
          <w:rStyle w:val="FootnoteCharacters"/>
        </w:rPr>
        <w:footnoteReference w:customMarkFollows="1" w:id="24"/>
        <w:t>50</w:t>
      </w:r>
      <w:r>
        <w:rPr>
          <w:lang w:val="fr-FR"/>
        </w:rPr>
        <w:t>. Dar prea puţină atenţie s-a acordat problemei originii acestei părţi atât de importante a teologiei răsăritene, dominând presupunerea că „a fost doar absorbită într-un fel din cultura antichităţii târzii”</w:t>
      </w:r>
      <w:r>
        <w:rPr>
          <w:rStyle w:val="FootnoteCharacters"/>
        </w:rPr>
        <w:footnoteReference w:customMarkFollows="1" w:id="25"/>
        <w:t>51</w:t>
      </w:r>
      <w:r>
        <w:rPr>
          <w:lang w:val="fr-FR"/>
        </w:rPr>
        <w:t xml:space="preserve">. Mai degrabă, se poate demonstra că originea conceptului de îndumnezeire în gândirea primilor Părinţi bisericeşti, se găseşte, în mod special, în folosirea în sens hristologic de către Biserică a </w:t>
      </w:r>
      <w:r>
        <w:rPr>
          <w:i/>
          <w:lang w:val="fr-FR"/>
        </w:rPr>
        <w:t>Psalmului</w:t>
      </w:r>
      <w:r>
        <w:rPr>
          <w:b/>
          <w:lang w:val="fr-FR"/>
        </w:rPr>
        <w:t xml:space="preserve"> </w:t>
      </w:r>
      <w:r>
        <w:rPr>
          <w:lang w:val="fr-FR"/>
        </w:rPr>
        <w:t xml:space="preserve">81, 1, 6,7, atât în vest cât şi în est, încă din a doua jumătate a primului secol creştin. Se poate susţine această idee prin faptul că </w:t>
      </w:r>
      <w:r>
        <w:rPr>
          <w:i/>
          <w:lang w:val="fr-FR"/>
        </w:rPr>
        <w:t>Psalmul</w:t>
      </w:r>
      <w:r>
        <w:rPr>
          <w:lang w:val="fr-FR"/>
        </w:rPr>
        <w:t xml:space="preserve"> 81 era folosit ca argument în favoarea hristologiei, în primele colecţii de </w:t>
      </w:r>
      <w:r>
        <w:rPr>
          <w:i/>
          <w:lang w:val="fr-FR"/>
        </w:rPr>
        <w:t>testimonia</w:t>
      </w:r>
      <w:r>
        <w:rPr>
          <w:lang w:val="fr-FR"/>
        </w:rPr>
        <w:t xml:space="preserve">, împotriva iudeilor, şi, totodată, folosirea acestui text cerea ca toţi credincioşii să fie, într-un fel, numiţi „dumnezei”: </w:t>
      </w:r>
      <w:r>
        <w:rPr>
          <w:i/>
          <w:lang w:val="fr-FR"/>
        </w:rPr>
        <w:t>„Dumnezeu a stat în dumnezeiască adunare şi în mijlocul dumnezeilor va judeca”. „Eu am zis: „Dumnezei sunteţi şi toţi fii ai Celui Preaînalt”.„Dar voi ca nişte oameni muriţi şi ca unul din căpetenii cădeţi”.</w:t>
      </w:r>
    </w:p>
    <w:p w:rsidR="006D5BD6" w:rsidRDefault="006D5BD6" w:rsidP="006D5BD6">
      <w:pPr>
        <w:tabs>
          <w:tab w:val="left" w:pos="540"/>
          <w:tab w:val="left" w:pos="720"/>
        </w:tabs>
        <w:ind w:left="-630" w:right="-540" w:firstLine="720"/>
        <w:jc w:val="both"/>
        <w:rPr>
          <w:i/>
          <w:lang w:val="fr-FR"/>
        </w:rPr>
      </w:pPr>
      <w:r>
        <w:rPr>
          <w:lang w:val="fr-FR"/>
        </w:rPr>
        <w:lastRenderedPageBreak/>
        <w:t xml:space="preserve">Autorul citat tratează apoi despre modul apologetic în care este folosit </w:t>
      </w:r>
      <w:r>
        <w:rPr>
          <w:i/>
          <w:lang w:val="fr-FR"/>
        </w:rPr>
        <w:t>Psalmul</w:t>
      </w:r>
      <w:r>
        <w:rPr>
          <w:lang w:val="fr-FR"/>
        </w:rPr>
        <w:t xml:space="preserve"> 81, de către Tertulian şi Sfântul Ciprian în Apus, şi de către Sfântul Iustin Martirul şi Sfântul Irineu în Răsărit,  pentru a arăta că titlul „</w:t>
      </w:r>
      <w:r>
        <w:rPr>
          <w:i/>
          <w:lang w:val="fr-FR"/>
        </w:rPr>
        <w:t>Deus</w:t>
      </w:r>
      <w:r>
        <w:rPr>
          <w:lang w:val="fr-FR"/>
        </w:rPr>
        <w:t>”, respecti „</w:t>
      </w:r>
      <w:r>
        <w:rPr>
          <w:i/>
          <w:lang w:val="fr-FR"/>
        </w:rPr>
        <w:t>Theos</w:t>
      </w:r>
      <w:r>
        <w:rPr>
          <w:lang w:val="fr-FR"/>
        </w:rPr>
        <w:t xml:space="preserve">” I Se poate atribui lui Iisus. </w:t>
      </w:r>
      <w:r>
        <w:rPr>
          <w:i/>
          <w:lang w:val="fr-FR"/>
        </w:rPr>
        <w:t xml:space="preserve"> </w:t>
      </w:r>
    </w:p>
    <w:p w:rsidR="006D5BD6" w:rsidRDefault="006D5BD6" w:rsidP="006D5BD6">
      <w:pPr>
        <w:tabs>
          <w:tab w:val="left" w:pos="540"/>
          <w:tab w:val="left" w:pos="720"/>
        </w:tabs>
        <w:ind w:left="-630" w:right="-540" w:firstLine="720"/>
        <w:jc w:val="both"/>
        <w:rPr>
          <w:lang w:val="fr-FR"/>
        </w:rPr>
      </w:pPr>
      <w:r>
        <w:rPr>
          <w:lang w:val="fr-FR"/>
        </w:rPr>
        <w:t xml:space="preserve">O foarte bună analiză a </w:t>
      </w:r>
      <w:r>
        <w:rPr>
          <w:i/>
          <w:lang w:val="fr-FR"/>
        </w:rPr>
        <w:t>Psalmului</w:t>
      </w:r>
      <w:r>
        <w:rPr>
          <w:lang w:val="fr-FR"/>
        </w:rPr>
        <w:t xml:space="preserve"> 81(82) şi a textului din Ioan 10, 34-36, o datorăm lui Jerome H.Neyrey</w:t>
      </w:r>
      <w:r>
        <w:rPr>
          <w:rStyle w:val="FootnoteCharacters"/>
        </w:rPr>
        <w:footnoteReference w:customMarkFollows="1" w:id="26"/>
        <w:t>52</w:t>
      </w:r>
      <w:r>
        <w:rPr>
          <w:lang w:val="fr-FR"/>
        </w:rPr>
        <w:t xml:space="preserve">. Se tratează despre cele patru moduri cum a fost explicat </w:t>
      </w:r>
      <w:r>
        <w:rPr>
          <w:i/>
          <w:lang w:val="fr-FR"/>
        </w:rPr>
        <w:t>Psalmul</w:t>
      </w:r>
      <w:r>
        <w:rPr>
          <w:lang w:val="fr-FR"/>
        </w:rPr>
        <w:t xml:space="preserve"> 81, 6-7 (82) în tradiţia iudaică. Cuvîntul „dumnezei” se referă la îngeri, Mechisedec, judecători şi, în sfârşit, la Israel pe Sinai. Răspunzând acuzei de blasfemie (In</w:t>
      </w:r>
      <w:r>
        <w:rPr>
          <w:b/>
          <w:lang w:val="fr-FR"/>
        </w:rPr>
        <w:t>.</w:t>
      </w:r>
      <w:r>
        <w:rPr>
          <w:lang w:val="fr-FR"/>
        </w:rPr>
        <w:t>10, 34-36), Mântuitorul avansează un argument din Sfânta Scriptură prin referirea la Ps.81,6-7. Din moment ce Scriptura nu greşeşte când îi numeşte pe cei muritori „</w:t>
      </w:r>
      <w:r>
        <w:rPr>
          <w:i/>
          <w:lang w:val="fr-FR"/>
        </w:rPr>
        <w:t>dumnezei</w:t>
      </w:r>
      <w:r>
        <w:rPr>
          <w:lang w:val="fr-FR"/>
        </w:rPr>
        <w:t>”, atunci nu e nici o eroare, ca Cel trimis şi consacrat de Tatăl să fie numit „</w:t>
      </w:r>
      <w:r>
        <w:rPr>
          <w:i/>
          <w:lang w:val="fr-FR"/>
        </w:rPr>
        <w:t>Fiul lui Dumnezeu</w:t>
      </w:r>
      <w:r>
        <w:rPr>
          <w:lang w:val="fr-FR"/>
        </w:rPr>
        <w:t>”, din moment ce Dumnezeu i-a numit „dumnezei” şi „</w:t>
      </w:r>
      <w:r>
        <w:rPr>
          <w:i/>
          <w:lang w:val="fr-FR"/>
        </w:rPr>
        <w:t>fii ai Celui Preaînalt</w:t>
      </w:r>
      <w:r>
        <w:rPr>
          <w:lang w:val="fr-FR"/>
        </w:rPr>
        <w:t>”.</w:t>
      </w:r>
    </w:p>
    <w:p w:rsidR="006D5BD6" w:rsidRDefault="006D5BD6" w:rsidP="006D5BD6">
      <w:pPr>
        <w:tabs>
          <w:tab w:val="left" w:pos="540"/>
          <w:tab w:val="left" w:pos="720"/>
        </w:tabs>
        <w:ind w:left="-630" w:right="-540" w:firstLine="720"/>
        <w:jc w:val="both"/>
        <w:rPr>
          <w:lang w:val="ro-RO"/>
        </w:rPr>
      </w:pPr>
      <w:r>
        <w:rPr>
          <w:lang w:val="fr-FR"/>
        </w:rPr>
        <w:t xml:space="preserve">Cu privire la </w:t>
      </w:r>
      <w:r>
        <w:rPr>
          <w:i/>
          <w:lang w:val="fr-FR"/>
        </w:rPr>
        <w:t>epectasis</w:t>
      </w:r>
      <w:r>
        <w:rPr>
          <w:lang w:val="fr-FR"/>
        </w:rPr>
        <w:t xml:space="preserve"> părintele sublinia că p</w:t>
      </w:r>
      <w:r>
        <w:rPr>
          <w:lang w:val="ro-RO"/>
        </w:rPr>
        <w:t>entru Sfântul Grigorie de Nyssa, dinamica îndumnezeirii se compară cu epectaza, o întindere continuă, în timp şi dincolo de timp, de la nedesăvârşire la desăvârşire, o înălţare permanentă pe muntele Schimbării la Faţă. Pentru Sfântul Maxim Mărturisitorul, îndumnezeirea este proporţională cu chenoza lui Dumnezeu în întruparea Sa; omul se aseamănă atât de mult cu Dumnezeu, pe cât Dumnezeu S-a identificat cu omul. Pentru Sfântul Simeon Noul Teolog, împărtăşirea-participarea are un caracter profund personal şi conştient. Mântuirea nu înseamnă a cunoaşte ceva despre Dumnezeu, ci a-L avea în sine pe Dumnezeu. Cunoştinţa proprie a adevărului (gnoza teologică) este anume simţirea harului Duhului Sfânt, primirea prin împărtăşire personală a luminii dumnezeieşti, care face cu putinţă şi conduce la vederea şi la comuniunea cu Cel Care este prin fire înţelepciunea ipostaziată. Faţă de această cunoştinţă conştientă, sinergică, celelalte cunoştinţe sunt doar interpretări de sensuri şi exprimări ale acestei experienţe, comunicarea mai departe a ceea ce s-a primit.</w:t>
      </w:r>
    </w:p>
    <w:p w:rsidR="006D5BD6" w:rsidRDefault="006D5BD6" w:rsidP="006D5BD6">
      <w:pPr>
        <w:shd w:val="clear" w:color="auto" w:fill="FFFFFF"/>
        <w:tabs>
          <w:tab w:val="left" w:pos="329"/>
        </w:tabs>
        <w:ind w:left="-630" w:right="-540" w:firstLine="284"/>
        <w:jc w:val="both"/>
        <w:rPr>
          <w:lang w:val="ro-RO"/>
        </w:rPr>
      </w:pPr>
      <w:r>
        <w:rPr>
          <w:lang w:val="ro-RO"/>
        </w:rPr>
        <w:t xml:space="preserve"> </w:t>
      </w:r>
      <w:r>
        <w:t xml:space="preserve"> </w:t>
      </w:r>
      <w:r>
        <w:rPr>
          <w:lang w:val="ro-RO"/>
        </w:rPr>
        <w:t xml:space="preserve">Sfântul Grigorie de Nyssa (în </w:t>
      </w:r>
      <w:r>
        <w:rPr>
          <w:i/>
          <w:iCs/>
          <w:lang w:val="ro-RO"/>
        </w:rPr>
        <w:t xml:space="preserve">Viaţa lui Moise </w:t>
      </w:r>
      <w:r>
        <w:rPr>
          <w:lang w:val="ro-RO"/>
        </w:rPr>
        <w:t xml:space="preserve">sau </w:t>
      </w:r>
      <w:r>
        <w:rPr>
          <w:i/>
          <w:iCs/>
          <w:lang w:val="ro-RO"/>
        </w:rPr>
        <w:t xml:space="preserve">Tratat de desăvârşire în virtute) </w:t>
      </w:r>
      <w:r>
        <w:rPr>
          <w:lang w:val="ro-RO"/>
        </w:rPr>
        <w:t xml:space="preserve">vorbeşte despre epectază, potrivit căreia sufletul, fiind atras de Dumnezeu, este într-o continuă mişcare ascendentă spre treptele superioare ale plenitudinii harului. Urcuşul acesta („anabasis”) este elanul către Dumnezeu, pe care, după Dionisie Areopagitul, erosul divin îl imprimă ca un element dinamic în fiinţa omului. El presupune o continuă eliberare de patimi („katharsis”), o creştere spirituală spre vârsta lui Hristos (Efes. 4, 13). Simbolul epectazei este Moise, care </w:t>
      </w:r>
      <w:r>
        <w:rPr>
          <w:i/>
          <w:iCs/>
          <w:lang w:val="ro-RO"/>
        </w:rPr>
        <w:t xml:space="preserve">,,nu se opreşte deloc în urcuşul său, nici nu-şi fixează limite la mişcarea sa către înălţimi, ci, odată ce a pus piciorul pe scară, el nu încetează de a urca treptele acesteia şi continuă să se ridice, deoarece orice treaptă pe care o urcă dă totdeauna, înaintând, spre una superioară” </w:t>
      </w:r>
      <w:r>
        <w:rPr>
          <w:lang w:val="ro-RO"/>
        </w:rPr>
        <w:t xml:space="preserve">(Grigorie de Nyssa, </w:t>
      </w:r>
      <w:r>
        <w:rPr>
          <w:i/>
          <w:iCs/>
          <w:lang w:val="ro-RO"/>
        </w:rPr>
        <w:t xml:space="preserve">Viaţa lui Moise, </w:t>
      </w:r>
      <w:r>
        <w:rPr>
          <w:lang w:val="ro-RO"/>
        </w:rPr>
        <w:t xml:space="preserve">col. PSB 29, Bucureşti, 1982, p. 91). </w:t>
      </w:r>
      <w:r>
        <w:rPr>
          <w:bCs/>
          <w:lang w:val="ro-RO"/>
        </w:rPr>
        <w:t>Epectaza</w:t>
      </w:r>
      <w:r>
        <w:rPr>
          <w:b/>
          <w:bCs/>
          <w:lang w:val="ro-RO"/>
        </w:rPr>
        <w:t xml:space="preserve"> </w:t>
      </w:r>
      <w:r>
        <w:rPr>
          <w:lang w:val="ro-RO"/>
        </w:rPr>
        <w:t xml:space="preserve">înseamnă progres în virtute şi în acţiune, deoarece creştinul nu trebuie să renunţe niciodată la ceea ce a dobândit, ci trebuie să continue ceea ce a început: „Duceţi până la capăt fapta” (II Cor. 8.11). În spiritul Tradiţiei răsăritene, urmarea lui Hristos este concomitentă cu dezvăluirea lui Hristos, cu manifestarea Lui de la forma chenotică la forma taborică, prin împărtăşirea cu Duhul Sfânt. Tocmai de aceea, creştinul este stimulat, în acest urcuş în desăvârşire, să tindă tot mai sus: </w:t>
      </w:r>
      <w:r>
        <w:rPr>
          <w:i/>
          <w:lang w:val="ro-RO"/>
        </w:rPr>
        <w:t>„</w:t>
      </w:r>
      <w:r>
        <w:rPr>
          <w:i/>
          <w:iCs/>
          <w:lang w:val="ro-RO"/>
        </w:rPr>
        <w:t xml:space="preserve">Râvniţi la darurile cele mai bune” </w:t>
      </w:r>
      <w:r>
        <w:rPr>
          <w:lang w:val="ro-RO"/>
        </w:rPr>
        <w:t>(I Cor. 12, 31)</w:t>
      </w:r>
      <w:r>
        <w:rPr>
          <w:rStyle w:val="FootnoteCharacters"/>
          <w:lang w:val="ro-RO"/>
        </w:rPr>
        <w:footnoteReference w:customMarkFollows="1" w:id="27"/>
        <w:t>53</w:t>
      </w:r>
      <w:r>
        <w:rPr>
          <w:lang w:val="ro-RO"/>
        </w:rPr>
        <w:t>.</w:t>
      </w:r>
    </w:p>
    <w:p w:rsidR="00B65D42" w:rsidRDefault="00B65D42"/>
    <w:sectPr w:rsidR="00B65D42" w:rsidSect="00EC548D">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5965" w:rsidRDefault="00C75965" w:rsidP="006D5BD6">
      <w:r>
        <w:separator/>
      </w:r>
    </w:p>
  </w:endnote>
  <w:endnote w:type="continuationSeparator" w:id="1">
    <w:p w:rsidR="00C75965" w:rsidRDefault="00C75965" w:rsidP="006D5BD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5965" w:rsidRDefault="00C75965" w:rsidP="006D5BD6">
      <w:r>
        <w:separator/>
      </w:r>
    </w:p>
  </w:footnote>
  <w:footnote w:type="continuationSeparator" w:id="1">
    <w:p w:rsidR="00C75965" w:rsidRDefault="00C75965" w:rsidP="006D5BD6">
      <w:r>
        <w:continuationSeparator/>
      </w:r>
    </w:p>
  </w:footnote>
  <w:footnote w:id="2">
    <w:p w:rsidR="006D5BD6" w:rsidRPr="00B31D89" w:rsidRDefault="006D5BD6" w:rsidP="006D5BD6">
      <w:pPr>
        <w:pStyle w:val="FootnoteText"/>
        <w:ind w:left="-630" w:right="-540"/>
        <w:jc w:val="both"/>
        <w:rPr>
          <w:rFonts w:cs="Times New Roman"/>
          <w:sz w:val="20"/>
          <w:lang w:val="ro-RO"/>
        </w:rPr>
      </w:pPr>
      <w:r w:rsidRPr="00B31D89">
        <w:rPr>
          <w:rStyle w:val="FootnoteCharacters"/>
          <w:sz w:val="20"/>
        </w:rPr>
        <w:t>28</w:t>
      </w:r>
      <w:r w:rsidRPr="00B31D89">
        <w:rPr>
          <w:rFonts w:cs="Times New Roman"/>
          <w:sz w:val="20"/>
        </w:rPr>
        <w:tab/>
        <w:t xml:space="preserve"> </w:t>
      </w:r>
      <w:r w:rsidRPr="00B31D89">
        <w:rPr>
          <w:rFonts w:cs="Times New Roman"/>
          <w:i/>
          <w:sz w:val="20"/>
          <w:lang w:val="ro-RO"/>
        </w:rPr>
        <w:t>Ibid</w:t>
      </w:r>
      <w:r w:rsidRPr="00B31D89">
        <w:rPr>
          <w:rFonts w:cs="Times New Roman"/>
          <w:sz w:val="20"/>
          <w:lang w:val="ro-RO"/>
        </w:rPr>
        <w:t xml:space="preserve">.,p. 144-148 </w:t>
      </w:r>
    </w:p>
  </w:footnote>
  <w:footnote w:id="3">
    <w:p w:rsidR="006D5BD6" w:rsidRPr="00B31D89" w:rsidRDefault="006D5BD6" w:rsidP="006D5BD6">
      <w:pPr>
        <w:pStyle w:val="itua"/>
        <w:ind w:left="-630" w:right="-540" w:firstLine="0"/>
        <w:rPr>
          <w:rFonts w:cs="Times New Roman"/>
          <w:sz w:val="20"/>
          <w:lang w:val="ro-RO"/>
        </w:rPr>
      </w:pPr>
      <w:r w:rsidRPr="00B31D89">
        <w:rPr>
          <w:rStyle w:val="FootnoteCharacters"/>
          <w:sz w:val="20"/>
        </w:rPr>
        <w:t>29</w:t>
      </w:r>
      <w:r w:rsidRPr="00B31D89">
        <w:rPr>
          <w:rFonts w:cs="Times New Roman"/>
          <w:sz w:val="20"/>
        </w:rPr>
        <w:tab/>
        <w:t xml:space="preserve"> “</w:t>
      </w:r>
      <w:r w:rsidRPr="00B31D89">
        <w:rPr>
          <w:rFonts w:cs="Times New Roman"/>
          <w:sz w:val="20"/>
          <w:lang w:val="ro-RO"/>
        </w:rPr>
        <w:t>Sinergia în teologia ortodoxă”</w:t>
      </w:r>
      <w:r w:rsidRPr="00B31D89">
        <w:rPr>
          <w:rFonts w:cs="Times New Roman"/>
          <w:b/>
          <w:sz w:val="20"/>
          <w:lang w:val="ro-RO"/>
        </w:rPr>
        <w:t xml:space="preserve">, </w:t>
      </w:r>
      <w:r w:rsidRPr="00B31D89">
        <w:rPr>
          <w:rFonts w:cs="Times New Roman"/>
          <w:sz w:val="20"/>
          <w:lang w:val="ro-RO"/>
        </w:rPr>
        <w:t>în</w:t>
      </w:r>
      <w:r w:rsidRPr="00B31D89">
        <w:rPr>
          <w:rFonts w:cs="Times New Roman"/>
          <w:b/>
          <w:sz w:val="20"/>
          <w:lang w:val="ro-RO"/>
        </w:rPr>
        <w:t xml:space="preserve"> </w:t>
      </w:r>
      <w:r w:rsidRPr="00B31D89">
        <w:rPr>
          <w:rFonts w:cs="Times New Roman"/>
          <w:i/>
          <w:sz w:val="20"/>
          <w:lang w:val="ro-RO"/>
        </w:rPr>
        <w:t>Ortodoxia</w:t>
      </w:r>
      <w:r w:rsidRPr="00B31D89">
        <w:rPr>
          <w:rFonts w:cs="Times New Roman"/>
          <w:sz w:val="20"/>
          <w:lang w:val="ro-RO"/>
        </w:rPr>
        <w:t>, (1956), nr.1, p. 29-43.</w:t>
      </w:r>
    </w:p>
    <w:p w:rsidR="006D5BD6" w:rsidRPr="00B31D89" w:rsidRDefault="006D5BD6" w:rsidP="006D5BD6">
      <w:pPr>
        <w:pStyle w:val="FootnoteText"/>
        <w:ind w:left="-630" w:right="-540"/>
        <w:jc w:val="both"/>
        <w:rPr>
          <w:rFonts w:cs="Times New Roman"/>
          <w:sz w:val="20"/>
          <w:lang w:val="ro-RO"/>
        </w:rPr>
      </w:pPr>
    </w:p>
  </w:footnote>
  <w:footnote w:id="4">
    <w:p w:rsidR="006D5BD6" w:rsidRPr="00B31D89" w:rsidRDefault="006D5BD6" w:rsidP="006D5BD6">
      <w:pPr>
        <w:pStyle w:val="FootnoteText"/>
        <w:ind w:left="-630" w:right="-540"/>
        <w:jc w:val="both"/>
        <w:rPr>
          <w:rFonts w:cs="Times New Roman"/>
          <w:sz w:val="20"/>
        </w:rPr>
      </w:pPr>
      <w:r w:rsidRPr="00B31D89">
        <w:rPr>
          <w:rStyle w:val="FootnoteCharacters"/>
          <w:sz w:val="20"/>
        </w:rPr>
        <w:t>30</w:t>
      </w:r>
      <w:r w:rsidRPr="00B31D89">
        <w:rPr>
          <w:rFonts w:cs="Times New Roman"/>
          <w:sz w:val="20"/>
        </w:rPr>
        <w:tab/>
        <w:t xml:space="preserve"> </w:t>
      </w:r>
      <w:r w:rsidRPr="00B31D89">
        <w:rPr>
          <w:rFonts w:cs="Times New Roman"/>
          <w:i/>
          <w:sz w:val="20"/>
        </w:rPr>
        <w:t>TTDE,</w:t>
      </w:r>
      <w:r w:rsidRPr="00B31D89">
        <w:rPr>
          <w:rFonts w:cs="Times New Roman"/>
          <w:sz w:val="20"/>
        </w:rPr>
        <w:t>p.150-156</w:t>
      </w:r>
    </w:p>
  </w:footnote>
  <w:footnote w:id="5">
    <w:p w:rsidR="006D5BD6" w:rsidRPr="00B31D89" w:rsidRDefault="006D5BD6" w:rsidP="006D5BD6">
      <w:pPr>
        <w:pStyle w:val="FootnoteText"/>
        <w:ind w:left="-630" w:right="-540"/>
        <w:jc w:val="both"/>
        <w:rPr>
          <w:rFonts w:cs="Times New Roman"/>
          <w:sz w:val="20"/>
          <w:lang w:val="ro-RO"/>
        </w:rPr>
      </w:pPr>
      <w:r w:rsidRPr="00B31D89">
        <w:rPr>
          <w:rStyle w:val="FootnoteCharacters"/>
          <w:sz w:val="20"/>
        </w:rPr>
        <w:t>31</w:t>
      </w:r>
      <w:r w:rsidRPr="00B31D89">
        <w:rPr>
          <w:rFonts w:cs="Times New Roman"/>
          <w:sz w:val="20"/>
          <w:lang w:val="ro-RO"/>
        </w:rPr>
        <w:tab/>
        <w:t xml:space="preserve"> Hilarion Alfeyev,</w:t>
      </w:r>
      <w:r w:rsidRPr="00B31D89">
        <w:rPr>
          <w:rFonts w:cs="Times New Roman"/>
          <w:i/>
          <w:sz w:val="20"/>
          <w:lang w:val="ro-RO"/>
        </w:rPr>
        <w:t xml:space="preserve"> St.Simeon the New Theologian and Orthodox Tradition</w:t>
      </w:r>
      <w:r w:rsidRPr="00B31D89">
        <w:rPr>
          <w:rFonts w:cs="Times New Roman"/>
          <w:sz w:val="20"/>
          <w:lang w:val="ro-RO"/>
        </w:rPr>
        <w:t>, Oxford University Press, 2005,p.255; în nota pe aceeaşi pagină se dau şi numele teologilor din secolul al XX-lea care au scris despre îndumenzeire: Popov, Gross, M.Lot-Borodine, Congar, Dalmais, Mantzaridis, Nellas, Cullen,  Russell,Larchet.</w:t>
      </w:r>
    </w:p>
  </w:footnote>
  <w:footnote w:id="6">
    <w:p w:rsidR="006D5BD6" w:rsidRPr="00B31D89" w:rsidRDefault="006D5BD6" w:rsidP="006D5BD6">
      <w:pPr>
        <w:ind w:left="-630" w:right="-540"/>
        <w:jc w:val="both"/>
        <w:rPr>
          <w:rFonts w:cs="Times New Roman"/>
          <w:sz w:val="20"/>
          <w:szCs w:val="20"/>
          <w:lang w:val="ro-RO"/>
        </w:rPr>
      </w:pPr>
      <w:r w:rsidRPr="00B31D89">
        <w:rPr>
          <w:rStyle w:val="FootnoteCharacters"/>
          <w:sz w:val="20"/>
        </w:rPr>
        <w:t>32</w:t>
      </w:r>
      <w:r w:rsidRPr="00B31D89">
        <w:rPr>
          <w:rFonts w:cs="Times New Roman"/>
          <w:sz w:val="20"/>
          <w:szCs w:val="20"/>
        </w:rPr>
        <w:tab/>
        <w:t xml:space="preserve">În pofida importanţei şi implicaţiilor doctrinare majore, textul din IIPt.1,4 nu este destul de cunoscut, de studiat şi de citat. Manualul de </w:t>
      </w:r>
      <w:r w:rsidRPr="00B31D89">
        <w:rPr>
          <w:rFonts w:cs="Times New Roman"/>
          <w:i/>
          <w:sz w:val="20"/>
          <w:szCs w:val="20"/>
        </w:rPr>
        <w:t>Teologie Dogmatică şi Simbolică</w:t>
      </w:r>
      <w:r w:rsidRPr="00B31D89">
        <w:rPr>
          <w:rFonts w:cs="Times New Roman"/>
          <w:sz w:val="20"/>
          <w:szCs w:val="20"/>
        </w:rPr>
        <w:t xml:space="preserve"> din anul 1958 îl aminteşte succint, dar bine pecizat, la capitolul </w:t>
      </w:r>
      <w:r w:rsidRPr="00B31D89">
        <w:rPr>
          <w:rFonts w:cs="Times New Roman"/>
          <w:i/>
          <w:sz w:val="20"/>
          <w:szCs w:val="20"/>
        </w:rPr>
        <w:t>Fiinţa şi lucrările necreate ale lui Dumnezeu</w:t>
      </w:r>
      <w:r w:rsidRPr="00B31D89">
        <w:rPr>
          <w:rFonts w:cs="Times New Roman"/>
          <w:sz w:val="20"/>
          <w:szCs w:val="20"/>
        </w:rPr>
        <w:t>, scris de părintele Stăniloae</w:t>
      </w:r>
      <w:r w:rsidRPr="00B31D89">
        <w:rPr>
          <w:rStyle w:val="FootnoteCharacters"/>
          <w:sz w:val="20"/>
        </w:rPr>
        <w:t/>
      </w:r>
      <w:r w:rsidRPr="00B31D89">
        <w:rPr>
          <w:rFonts w:cs="Times New Roman"/>
          <w:sz w:val="20"/>
          <w:szCs w:val="20"/>
        </w:rPr>
        <w:t>: “Despre unirea omului cu Dumnezeu, despre împărtăşirea de El, despre fericirea vederii Lui, vorbeşte în multe locuri SfântulScriptură. După îndrăzneţul cuvânt al Apostolului Petru (II, 1,4), creştinii sunt destinaţi să devină</w:t>
      </w:r>
      <w:r>
        <w:rPr>
          <w:rFonts w:cs="Times New Roman"/>
          <w:sz w:val="20"/>
          <w:szCs w:val="20"/>
        </w:rPr>
        <w:t xml:space="preserve"> </w:t>
      </w:r>
      <w:r w:rsidRPr="00017A71">
        <w:rPr>
          <w:lang w:val="ro-RO"/>
        </w:rPr>
        <w:t>«</w:t>
      </w:r>
      <w:r w:rsidRPr="00E167E1">
        <w:rPr>
          <w:rFonts w:cs="Times New Roman"/>
          <w:sz w:val="20"/>
          <w:szCs w:val="20"/>
        </w:rPr>
        <w:t xml:space="preserve"> </w:t>
      </w:r>
      <w:r w:rsidRPr="00B31D89">
        <w:rPr>
          <w:rFonts w:cs="Times New Roman"/>
          <w:sz w:val="20"/>
          <w:szCs w:val="20"/>
        </w:rPr>
        <w:t>părtaşi ai firii dumnezeieşti</w:t>
      </w:r>
      <w:r w:rsidRPr="00017A71">
        <w:rPr>
          <w:lang w:val="ro-RO"/>
        </w:rPr>
        <w:t xml:space="preserve"> »</w:t>
      </w:r>
      <w:r>
        <w:rPr>
          <w:lang w:val="ro-RO"/>
        </w:rPr>
        <w:t xml:space="preserve"> </w:t>
      </w:r>
      <w:r w:rsidRPr="00B31D89">
        <w:rPr>
          <w:rFonts w:cs="Times New Roman"/>
          <w:sz w:val="20"/>
          <w:szCs w:val="20"/>
        </w:rPr>
        <w:t xml:space="preserve">. Mântuitorul făgăduieşte celor ce împlinesc poruncile Lui că se va sălăşlui împreună cu Tatăl în ei (Ioan 14,23) şi spune că cei curaţi cu inima vor vedea pe Dumnezeu. </w:t>
      </w:r>
      <w:r w:rsidRPr="00B31D89">
        <w:rPr>
          <w:rFonts w:cs="Times New Roman"/>
          <w:sz w:val="20"/>
          <w:szCs w:val="20"/>
          <w:lang w:val="pt-BR"/>
        </w:rPr>
        <w:t>Ar fi neserios şi neevlavios lucru ca aceste expresii să fie considerate simple metafore, sau expresii emfatice. Tot ce-i mai substanţial în Revelaţie s-ar goli atunci de sens.”</w:t>
      </w:r>
      <w:r w:rsidRPr="00B31D89">
        <w:rPr>
          <w:rStyle w:val="FootnoteCharacters"/>
          <w:sz w:val="20"/>
        </w:rPr>
        <w:t/>
      </w:r>
      <w:r w:rsidRPr="00B31D89">
        <w:rPr>
          <w:rFonts w:cs="Times New Roman"/>
          <w:sz w:val="20"/>
          <w:szCs w:val="20"/>
          <w:lang w:val="pt-BR"/>
        </w:rPr>
        <w:t xml:space="preserve"> Sfinţii Părinţi s-au referit adesea şi la </w:t>
      </w:r>
      <w:r w:rsidRPr="00B31D89">
        <w:rPr>
          <w:rFonts w:cs="Times New Roman"/>
          <w:i/>
          <w:sz w:val="20"/>
          <w:szCs w:val="20"/>
          <w:lang w:val="pt-BR"/>
        </w:rPr>
        <w:t>syngenia</w:t>
      </w:r>
      <w:r w:rsidRPr="00B31D89">
        <w:rPr>
          <w:rFonts w:cs="Times New Roman"/>
          <w:sz w:val="20"/>
          <w:szCs w:val="20"/>
          <w:lang w:val="pt-BR"/>
        </w:rPr>
        <w:t xml:space="preserve"> şi la participarea la cele dumnezeieşti, dovadă este faptul că expresia din IIPt.1,4 a intrat şi în cuprinsul unor rugăciuni, cum ar fi Acatistul Sfântului Apostol Andrei. </w:t>
      </w:r>
      <w:r w:rsidRPr="00B31D89">
        <w:rPr>
          <w:rFonts w:cs="Times New Roman"/>
          <w:sz w:val="20"/>
          <w:szCs w:val="20"/>
        </w:rPr>
        <w:t>În icosul al IV-lea îl lăudăm pe cel întâi chemat la apostolie spunându-i: „Bucură-te că te-ai arătat părtaş al firii dumnezeieşti”.</w:t>
      </w:r>
      <w:r w:rsidRPr="00B31D89">
        <w:rPr>
          <w:rFonts w:cs="Times New Roman"/>
          <w:sz w:val="20"/>
          <w:szCs w:val="20"/>
          <w:lang w:val="ro-RO"/>
        </w:rPr>
        <w:t xml:space="preserve"> Pentru detalii a se v.</w:t>
      </w:r>
      <w:r>
        <w:rPr>
          <w:rFonts w:cs="Times New Roman"/>
          <w:sz w:val="20"/>
          <w:szCs w:val="20"/>
          <w:lang w:val="ro-RO"/>
        </w:rPr>
        <w:t xml:space="preserve"> secţiunea</w:t>
      </w:r>
      <w:r w:rsidRPr="00B31D89">
        <w:rPr>
          <w:rFonts w:cs="Times New Roman"/>
          <w:sz w:val="20"/>
          <w:szCs w:val="20"/>
          <w:lang w:val="ro-RO"/>
        </w:rPr>
        <w:t xml:space="preserve">: </w:t>
      </w:r>
      <w:r w:rsidRPr="00B31D89">
        <w:rPr>
          <w:rFonts w:cs="Times New Roman"/>
          <w:bCs/>
          <w:sz w:val="20"/>
          <w:szCs w:val="20"/>
          <w:lang w:val="ro-RO"/>
        </w:rPr>
        <w:t>„</w:t>
      </w:r>
      <w:r w:rsidRPr="00B31D89">
        <w:rPr>
          <w:rFonts w:cs="Times New Roman"/>
          <w:bCs/>
          <w:i/>
          <w:iCs/>
          <w:sz w:val="20"/>
          <w:szCs w:val="20"/>
          <w:lang w:val="ro-RO"/>
        </w:rPr>
        <w:t xml:space="preserve">Părtaşi ai dumnezeieştii firi -  </w:t>
      </w:r>
      <w:r w:rsidRPr="00B31D89">
        <w:rPr>
          <w:rFonts w:cs="Times New Roman"/>
          <w:bCs/>
          <w:sz w:val="20"/>
          <w:szCs w:val="20"/>
          <w:lang w:val="ro-RO"/>
        </w:rPr>
        <w:t>theias koinonoi physeos, divinae naturae consor</w:t>
      </w:r>
      <w:r>
        <w:rPr>
          <w:rFonts w:cs="Times New Roman"/>
          <w:bCs/>
          <w:sz w:val="20"/>
          <w:szCs w:val="20"/>
          <w:lang w:val="ro-RO"/>
        </w:rPr>
        <w:t>tes” (IIPt.1,4) – o introducere</w:t>
      </w:r>
      <w:r w:rsidRPr="00B31D89">
        <w:rPr>
          <w:rFonts w:cs="Times New Roman"/>
          <w:bCs/>
          <w:sz w:val="20"/>
          <w:szCs w:val="20"/>
          <w:lang w:val="ro-RO"/>
        </w:rPr>
        <w:t xml:space="preserve">, în </w:t>
      </w:r>
      <w:r>
        <w:rPr>
          <w:rFonts w:cs="Times New Roman"/>
          <w:bCs/>
          <w:sz w:val="20"/>
          <w:szCs w:val="20"/>
          <w:lang w:val="ro-RO"/>
        </w:rPr>
        <w:t xml:space="preserve">lucrarea de faţă </w:t>
      </w:r>
    </w:p>
  </w:footnote>
  <w:footnote w:id="7">
    <w:p w:rsidR="006D5BD6" w:rsidRPr="00B31D89" w:rsidRDefault="006D5BD6" w:rsidP="006D5BD6">
      <w:pPr>
        <w:pStyle w:val="FootnoteText"/>
        <w:ind w:left="-630" w:right="-540"/>
        <w:jc w:val="both"/>
        <w:rPr>
          <w:rFonts w:cs="Times New Roman"/>
          <w:sz w:val="20"/>
          <w:lang w:val="ro-RO"/>
        </w:rPr>
      </w:pPr>
      <w:r w:rsidRPr="00B31D89">
        <w:rPr>
          <w:rStyle w:val="FootnoteCharacters"/>
          <w:sz w:val="20"/>
        </w:rPr>
        <w:t>33</w:t>
      </w:r>
      <w:r w:rsidRPr="00B31D89">
        <w:rPr>
          <w:rFonts w:cs="Times New Roman"/>
          <w:sz w:val="20"/>
          <w:lang w:val="ro-RO"/>
        </w:rPr>
        <w:tab/>
        <w:t xml:space="preserve"> H.Alfeyev, </w:t>
      </w:r>
      <w:r w:rsidRPr="00B31D89">
        <w:rPr>
          <w:rFonts w:cs="Times New Roman"/>
          <w:i/>
          <w:sz w:val="20"/>
          <w:lang w:val="ro-RO"/>
        </w:rPr>
        <w:t>op.cit.</w:t>
      </w:r>
      <w:r w:rsidRPr="00B31D89">
        <w:rPr>
          <w:rFonts w:cs="Times New Roman"/>
          <w:sz w:val="20"/>
          <w:lang w:val="ro-RO"/>
        </w:rPr>
        <w:t>, p.256</w:t>
      </w:r>
    </w:p>
  </w:footnote>
  <w:footnote w:id="8">
    <w:p w:rsidR="006D5BD6" w:rsidRPr="00B31D89" w:rsidRDefault="006D5BD6" w:rsidP="006D5BD6">
      <w:pPr>
        <w:pStyle w:val="FootnoteText"/>
        <w:ind w:left="-630" w:right="-540"/>
        <w:jc w:val="both"/>
        <w:rPr>
          <w:rFonts w:cs="Times New Roman"/>
          <w:sz w:val="20"/>
          <w:lang w:val="ro-RO"/>
        </w:rPr>
      </w:pPr>
      <w:r w:rsidRPr="00B31D89">
        <w:rPr>
          <w:rStyle w:val="FootnoteCharacters"/>
          <w:sz w:val="20"/>
        </w:rPr>
        <w:t>34</w:t>
      </w:r>
      <w:r w:rsidRPr="00B31D89">
        <w:rPr>
          <w:rFonts w:cs="Times New Roman"/>
          <w:sz w:val="20"/>
          <w:lang w:val="ro-RO"/>
        </w:rPr>
        <w:tab/>
        <w:t xml:space="preserve"> Efes.9.2 [66]</w:t>
      </w:r>
    </w:p>
  </w:footnote>
  <w:footnote w:id="9">
    <w:p w:rsidR="006D5BD6" w:rsidRPr="00B31D89" w:rsidRDefault="006D5BD6" w:rsidP="006D5BD6">
      <w:pPr>
        <w:pStyle w:val="FootnoteText"/>
        <w:ind w:left="-630" w:right="-540"/>
        <w:jc w:val="both"/>
        <w:rPr>
          <w:rFonts w:cs="Times New Roman"/>
          <w:sz w:val="20"/>
          <w:lang w:val="ro-RO"/>
        </w:rPr>
      </w:pPr>
      <w:r w:rsidRPr="00B31D89">
        <w:rPr>
          <w:rStyle w:val="FootnoteCharacters"/>
          <w:sz w:val="20"/>
        </w:rPr>
        <w:t>35</w:t>
      </w:r>
      <w:r w:rsidRPr="00B31D89">
        <w:rPr>
          <w:rFonts w:cs="Times New Roman"/>
          <w:sz w:val="20"/>
          <w:lang w:val="ro-RO"/>
        </w:rPr>
        <w:tab/>
        <w:t xml:space="preserve"> </w:t>
      </w:r>
      <w:r w:rsidRPr="00B31D89">
        <w:rPr>
          <w:rFonts w:cs="Times New Roman"/>
          <w:i/>
          <w:sz w:val="20"/>
          <w:lang w:val="ro-RO"/>
        </w:rPr>
        <w:t>Ibid</w:t>
      </w:r>
      <w:r w:rsidRPr="00B31D89">
        <w:rPr>
          <w:rFonts w:cs="Times New Roman"/>
          <w:sz w:val="20"/>
          <w:lang w:val="ro-RO"/>
        </w:rPr>
        <w:t>., 4.2 [60]</w:t>
      </w:r>
    </w:p>
  </w:footnote>
  <w:footnote w:id="10">
    <w:p w:rsidR="006D5BD6" w:rsidRPr="00B31D89" w:rsidRDefault="006D5BD6" w:rsidP="006D5BD6">
      <w:pPr>
        <w:pStyle w:val="FootnoteText"/>
        <w:ind w:left="-630" w:right="-540"/>
        <w:jc w:val="both"/>
        <w:rPr>
          <w:rFonts w:cs="Times New Roman"/>
          <w:sz w:val="20"/>
          <w:lang w:val="ro-RO"/>
        </w:rPr>
      </w:pPr>
      <w:r w:rsidRPr="00B31D89">
        <w:rPr>
          <w:rStyle w:val="FootnoteCharacters"/>
          <w:sz w:val="20"/>
        </w:rPr>
        <w:t>36</w:t>
      </w:r>
      <w:r w:rsidRPr="00B31D89">
        <w:rPr>
          <w:rFonts w:cs="Times New Roman"/>
          <w:i/>
          <w:sz w:val="20"/>
          <w:lang w:val="ro-RO"/>
        </w:rPr>
        <w:tab/>
        <w:t xml:space="preserve"> Adver.her</w:t>
      </w:r>
      <w:r w:rsidRPr="00B31D89">
        <w:rPr>
          <w:rFonts w:cs="Times New Roman"/>
          <w:sz w:val="20"/>
          <w:lang w:val="ro-RO"/>
        </w:rPr>
        <w:t>.5, [15]</w:t>
      </w:r>
    </w:p>
  </w:footnote>
  <w:footnote w:id="11">
    <w:p w:rsidR="006D5BD6" w:rsidRPr="00B31D89" w:rsidRDefault="006D5BD6" w:rsidP="006D5BD6">
      <w:pPr>
        <w:pStyle w:val="FootnoteText"/>
        <w:ind w:left="-630" w:right="-540"/>
        <w:jc w:val="both"/>
        <w:rPr>
          <w:rFonts w:cs="Times New Roman"/>
          <w:sz w:val="20"/>
          <w:lang w:val="ro-RO"/>
        </w:rPr>
      </w:pPr>
      <w:r w:rsidRPr="00B31D89">
        <w:rPr>
          <w:rStyle w:val="FootnoteCharacters"/>
          <w:sz w:val="20"/>
        </w:rPr>
        <w:t>37</w:t>
      </w:r>
      <w:r w:rsidRPr="00B31D89">
        <w:rPr>
          <w:rFonts w:cs="Times New Roman"/>
          <w:sz w:val="20"/>
          <w:lang w:val="ro-RO"/>
        </w:rPr>
        <w:tab/>
        <w:t xml:space="preserve"> </w:t>
      </w:r>
      <w:r w:rsidRPr="00B31D89">
        <w:rPr>
          <w:rFonts w:cs="Times New Roman"/>
          <w:i/>
          <w:sz w:val="20"/>
          <w:lang w:val="ro-RO"/>
        </w:rPr>
        <w:t>Ibid</w:t>
      </w:r>
      <w:r w:rsidRPr="00B31D89">
        <w:rPr>
          <w:rFonts w:cs="Times New Roman"/>
          <w:sz w:val="20"/>
          <w:lang w:val="ro-RO"/>
        </w:rPr>
        <w:t>., 3.19.I [375]</w:t>
      </w:r>
    </w:p>
  </w:footnote>
  <w:footnote w:id="12">
    <w:p w:rsidR="006D5BD6" w:rsidRPr="00B31D89" w:rsidRDefault="006D5BD6" w:rsidP="006D5BD6">
      <w:pPr>
        <w:pStyle w:val="FootnoteText"/>
        <w:ind w:left="-630" w:right="-540"/>
        <w:jc w:val="both"/>
        <w:rPr>
          <w:rFonts w:cs="Times New Roman"/>
          <w:sz w:val="20"/>
          <w:lang w:val="ro-RO"/>
        </w:rPr>
      </w:pPr>
      <w:r w:rsidRPr="00B31D89">
        <w:rPr>
          <w:rStyle w:val="FootnoteCharacters"/>
          <w:sz w:val="20"/>
        </w:rPr>
        <w:t>38</w:t>
      </w:r>
      <w:r w:rsidRPr="00B31D89">
        <w:rPr>
          <w:rFonts w:cs="Times New Roman"/>
          <w:sz w:val="20"/>
          <w:lang w:val="ro-RO"/>
        </w:rPr>
        <w:tab/>
        <w:t xml:space="preserve"> </w:t>
      </w:r>
      <w:r w:rsidRPr="00B31D89">
        <w:rPr>
          <w:rFonts w:cs="Times New Roman"/>
          <w:i/>
          <w:sz w:val="20"/>
          <w:lang w:val="ro-RO"/>
        </w:rPr>
        <w:t>Protrepticul</w:t>
      </w:r>
      <w:r w:rsidRPr="00B31D89">
        <w:rPr>
          <w:rFonts w:cs="Times New Roman"/>
          <w:sz w:val="20"/>
          <w:lang w:val="ro-RO"/>
        </w:rPr>
        <w:t>, II,, 81</w:t>
      </w:r>
    </w:p>
  </w:footnote>
  <w:footnote w:id="13">
    <w:p w:rsidR="006D5BD6" w:rsidRPr="00B31D89" w:rsidRDefault="006D5BD6" w:rsidP="006D5BD6">
      <w:pPr>
        <w:pStyle w:val="FootnoteText"/>
        <w:ind w:left="-630" w:right="-540"/>
        <w:jc w:val="both"/>
        <w:rPr>
          <w:rFonts w:cs="Times New Roman"/>
          <w:sz w:val="20"/>
        </w:rPr>
      </w:pPr>
      <w:r w:rsidRPr="00B31D89">
        <w:rPr>
          <w:rStyle w:val="FootnoteCharacters"/>
          <w:sz w:val="20"/>
        </w:rPr>
        <w:t>39</w:t>
      </w:r>
      <w:r w:rsidRPr="00B31D89">
        <w:rPr>
          <w:rFonts w:cs="Times New Roman"/>
          <w:sz w:val="20"/>
          <w:lang w:val="ro-RO"/>
        </w:rPr>
        <w:tab/>
        <w:t xml:space="preserve"> </w:t>
      </w:r>
      <w:r w:rsidRPr="00B31D89">
        <w:rPr>
          <w:rFonts w:cs="Times New Roman"/>
          <w:i/>
          <w:sz w:val="20"/>
          <w:lang w:val="ro-RO"/>
        </w:rPr>
        <w:t>Trei cu</w:t>
      </w:r>
      <w:r w:rsidRPr="00B31D89">
        <w:rPr>
          <w:rFonts w:cs="Times New Roman"/>
          <w:i/>
          <w:sz w:val="20"/>
        </w:rPr>
        <w:t>vinte împotriva arienilor</w:t>
      </w:r>
      <w:r w:rsidRPr="00B31D89">
        <w:rPr>
          <w:rFonts w:cs="Times New Roman"/>
          <w:sz w:val="20"/>
        </w:rPr>
        <w:t>, 3,19, (t.r PSB 15, p.344)</w:t>
      </w:r>
    </w:p>
  </w:footnote>
  <w:footnote w:id="14">
    <w:p w:rsidR="006D5BD6" w:rsidRPr="00B31D89" w:rsidRDefault="006D5BD6" w:rsidP="006D5BD6">
      <w:pPr>
        <w:pStyle w:val="FootnoteText"/>
        <w:ind w:left="-630" w:right="-540"/>
        <w:jc w:val="both"/>
        <w:rPr>
          <w:rFonts w:cs="Times New Roman"/>
          <w:sz w:val="20"/>
        </w:rPr>
      </w:pPr>
      <w:r w:rsidRPr="00B31D89">
        <w:rPr>
          <w:rStyle w:val="FootnoteCharacters"/>
          <w:sz w:val="20"/>
        </w:rPr>
        <w:t>40</w:t>
      </w:r>
      <w:r w:rsidRPr="00B31D89">
        <w:rPr>
          <w:rFonts w:cs="Times New Roman"/>
          <w:sz w:val="20"/>
        </w:rPr>
        <w:tab/>
        <w:t xml:space="preserve"> </w:t>
      </w:r>
      <w:r w:rsidRPr="00B31D89">
        <w:rPr>
          <w:rFonts w:cs="Times New Roman"/>
          <w:i/>
          <w:sz w:val="20"/>
        </w:rPr>
        <w:t>Cele cinci Cuvântări Teologice</w:t>
      </w:r>
      <w:r w:rsidRPr="00B31D89">
        <w:rPr>
          <w:rFonts w:cs="Times New Roman"/>
          <w:sz w:val="20"/>
        </w:rPr>
        <w:t>, Ed. Anastasia, 1993, p.67</w:t>
      </w:r>
    </w:p>
  </w:footnote>
  <w:footnote w:id="15">
    <w:p w:rsidR="006D5BD6" w:rsidRPr="00B31D89" w:rsidRDefault="006D5BD6" w:rsidP="006D5BD6">
      <w:pPr>
        <w:pStyle w:val="FootnoteText"/>
        <w:ind w:left="-630" w:right="-540"/>
        <w:jc w:val="both"/>
        <w:rPr>
          <w:rFonts w:cs="Times New Roman"/>
          <w:sz w:val="20"/>
        </w:rPr>
      </w:pPr>
      <w:r w:rsidRPr="00B31D89">
        <w:rPr>
          <w:rStyle w:val="FootnoteCharacters"/>
          <w:sz w:val="20"/>
        </w:rPr>
        <w:t>41</w:t>
      </w:r>
      <w:r w:rsidRPr="00B31D89">
        <w:rPr>
          <w:rFonts w:cs="Times New Roman"/>
          <w:sz w:val="20"/>
        </w:rPr>
        <w:tab/>
        <w:t xml:space="preserve"> </w:t>
      </w:r>
      <w:r w:rsidRPr="00B31D89">
        <w:rPr>
          <w:rFonts w:cs="Times New Roman"/>
          <w:i/>
          <w:sz w:val="20"/>
        </w:rPr>
        <w:t>Ibid</w:t>
      </w:r>
      <w:r w:rsidRPr="00B31D89">
        <w:rPr>
          <w:rFonts w:cs="Times New Roman"/>
          <w:sz w:val="20"/>
        </w:rPr>
        <w:t>., p.154,155</w:t>
      </w:r>
    </w:p>
  </w:footnote>
  <w:footnote w:id="16">
    <w:p w:rsidR="006D5BD6" w:rsidRPr="00B31D89" w:rsidRDefault="006D5BD6" w:rsidP="006D5BD6">
      <w:pPr>
        <w:pStyle w:val="FootnoteText"/>
        <w:ind w:left="-630" w:right="-540"/>
        <w:jc w:val="both"/>
        <w:rPr>
          <w:rFonts w:cs="Times New Roman"/>
          <w:sz w:val="20"/>
        </w:rPr>
      </w:pPr>
      <w:r w:rsidRPr="00B31D89">
        <w:rPr>
          <w:rStyle w:val="FootnoteCharacters"/>
          <w:sz w:val="20"/>
        </w:rPr>
        <w:t>42</w:t>
      </w:r>
      <w:r w:rsidRPr="00B31D89">
        <w:rPr>
          <w:rFonts w:cs="Times New Roman"/>
          <w:sz w:val="20"/>
        </w:rPr>
        <w:tab/>
        <w:t xml:space="preserve"> </w:t>
      </w:r>
      <w:r w:rsidRPr="00B31D89">
        <w:rPr>
          <w:rFonts w:cs="Times New Roman"/>
          <w:i/>
          <w:sz w:val="20"/>
        </w:rPr>
        <w:t>Ambigua</w:t>
      </w:r>
      <w:r w:rsidRPr="00B31D89">
        <w:rPr>
          <w:rFonts w:cs="Times New Roman"/>
          <w:sz w:val="20"/>
        </w:rPr>
        <w:t>, PSB 80, p.50</w:t>
      </w:r>
    </w:p>
  </w:footnote>
  <w:footnote w:id="17">
    <w:p w:rsidR="006D5BD6" w:rsidRPr="00B31D89" w:rsidRDefault="006D5BD6" w:rsidP="006D5BD6">
      <w:pPr>
        <w:pStyle w:val="FootnoteText"/>
        <w:ind w:left="-630" w:right="-540"/>
        <w:jc w:val="both"/>
        <w:rPr>
          <w:rFonts w:cs="Times New Roman"/>
          <w:sz w:val="20"/>
        </w:rPr>
      </w:pPr>
      <w:r w:rsidRPr="00B31D89">
        <w:rPr>
          <w:rStyle w:val="FootnoteCharacters"/>
          <w:sz w:val="20"/>
        </w:rPr>
        <w:t>43</w:t>
      </w:r>
      <w:r w:rsidRPr="00B31D89">
        <w:rPr>
          <w:rFonts w:cs="Times New Roman"/>
          <w:sz w:val="20"/>
        </w:rPr>
        <w:tab/>
        <w:t xml:space="preserve"> </w:t>
      </w:r>
      <w:r w:rsidRPr="00B31D89">
        <w:rPr>
          <w:rFonts w:cs="Times New Roman"/>
          <w:i/>
          <w:sz w:val="20"/>
        </w:rPr>
        <w:t>Ibid</w:t>
      </w:r>
      <w:r w:rsidRPr="00B31D89">
        <w:rPr>
          <w:rFonts w:cs="Times New Roman"/>
          <w:sz w:val="20"/>
        </w:rPr>
        <w:t>., p.112</w:t>
      </w:r>
    </w:p>
  </w:footnote>
  <w:footnote w:id="18">
    <w:p w:rsidR="006D5BD6" w:rsidRPr="00B31D89" w:rsidRDefault="006D5BD6" w:rsidP="006D5BD6">
      <w:pPr>
        <w:pStyle w:val="FootnoteText"/>
        <w:ind w:left="-630" w:right="-540"/>
        <w:jc w:val="both"/>
        <w:rPr>
          <w:rFonts w:cs="Times New Roman"/>
          <w:sz w:val="20"/>
        </w:rPr>
      </w:pPr>
      <w:r w:rsidRPr="00B31D89">
        <w:rPr>
          <w:rStyle w:val="FootnoteCharacters"/>
          <w:sz w:val="20"/>
        </w:rPr>
        <w:t>44</w:t>
      </w:r>
      <w:r w:rsidRPr="00B31D89">
        <w:rPr>
          <w:rFonts w:cs="Times New Roman"/>
          <w:sz w:val="20"/>
        </w:rPr>
        <w:tab/>
        <w:t xml:space="preserve"> </w:t>
      </w:r>
      <w:r w:rsidRPr="00B31D89">
        <w:rPr>
          <w:rFonts w:cs="Times New Roman"/>
          <w:i/>
          <w:sz w:val="20"/>
        </w:rPr>
        <w:t>Ibid</w:t>
      </w:r>
      <w:r w:rsidRPr="00B31D89">
        <w:rPr>
          <w:rFonts w:cs="Times New Roman"/>
          <w:sz w:val="20"/>
        </w:rPr>
        <w:t>.</w:t>
      </w:r>
    </w:p>
  </w:footnote>
  <w:footnote w:id="19">
    <w:p w:rsidR="006D5BD6" w:rsidRPr="00B31D89" w:rsidRDefault="006D5BD6" w:rsidP="006D5BD6">
      <w:pPr>
        <w:pStyle w:val="FootnoteText"/>
        <w:ind w:left="-630" w:right="-540"/>
        <w:jc w:val="both"/>
        <w:rPr>
          <w:rFonts w:cs="Times New Roman"/>
          <w:i/>
          <w:sz w:val="20"/>
        </w:rPr>
      </w:pPr>
      <w:r w:rsidRPr="00B31D89">
        <w:rPr>
          <w:rStyle w:val="FootnoteCharacters"/>
          <w:sz w:val="20"/>
        </w:rPr>
        <w:t>45</w:t>
      </w:r>
      <w:r w:rsidRPr="00B31D89">
        <w:rPr>
          <w:rFonts w:cs="Times New Roman"/>
          <w:sz w:val="20"/>
        </w:rPr>
        <w:tab/>
        <w:t xml:space="preserve"> </w:t>
      </w:r>
      <w:r w:rsidRPr="00B31D89">
        <w:rPr>
          <w:rFonts w:cs="Times New Roman"/>
          <w:i/>
          <w:sz w:val="20"/>
        </w:rPr>
        <w:t>Ibid.</w:t>
      </w:r>
    </w:p>
  </w:footnote>
  <w:footnote w:id="20">
    <w:p w:rsidR="006D5BD6" w:rsidRPr="00B31D89" w:rsidRDefault="006D5BD6" w:rsidP="006D5BD6">
      <w:pPr>
        <w:pStyle w:val="FootnoteText"/>
        <w:ind w:left="-630" w:right="-540"/>
        <w:jc w:val="both"/>
        <w:rPr>
          <w:rFonts w:cs="Times New Roman"/>
          <w:sz w:val="20"/>
        </w:rPr>
      </w:pPr>
      <w:r w:rsidRPr="00B31D89">
        <w:rPr>
          <w:rStyle w:val="FootnoteCharacters"/>
          <w:sz w:val="20"/>
        </w:rPr>
        <w:t>46</w:t>
      </w:r>
      <w:r w:rsidRPr="00B31D89">
        <w:rPr>
          <w:rFonts w:cs="Times New Roman"/>
          <w:sz w:val="20"/>
        </w:rPr>
        <w:tab/>
        <w:t xml:space="preserve"> Mark D. Nispel, </w:t>
      </w:r>
      <w:r>
        <w:rPr>
          <w:rFonts w:cs="Times New Roman"/>
          <w:sz w:val="20"/>
        </w:rPr>
        <w:t>“</w:t>
      </w:r>
      <w:r w:rsidRPr="00B31D89">
        <w:rPr>
          <w:rFonts w:cs="Times New Roman"/>
          <w:sz w:val="20"/>
        </w:rPr>
        <w:t xml:space="preserve">Christian Deification and the Early </w:t>
      </w:r>
      <w:r w:rsidRPr="00B31D89">
        <w:rPr>
          <w:rFonts w:cs="Times New Roman"/>
          <w:i/>
          <w:sz w:val="20"/>
        </w:rPr>
        <w:t>Testimonia</w:t>
      </w:r>
      <w:r>
        <w:rPr>
          <w:rFonts w:cs="Times New Roman"/>
          <w:sz w:val="20"/>
        </w:rPr>
        <w:t>”</w:t>
      </w:r>
      <w:r w:rsidRPr="00B31D89">
        <w:rPr>
          <w:rFonts w:cs="Times New Roman"/>
          <w:sz w:val="20"/>
        </w:rPr>
        <w:t xml:space="preserve">, în </w:t>
      </w:r>
      <w:r w:rsidRPr="00B31D89">
        <w:rPr>
          <w:rFonts w:cs="Times New Roman"/>
          <w:i/>
          <w:sz w:val="20"/>
        </w:rPr>
        <w:t>Vigilae Christianae</w:t>
      </w:r>
      <w:r w:rsidRPr="00B31D89">
        <w:rPr>
          <w:rFonts w:cs="Times New Roman"/>
          <w:sz w:val="20"/>
        </w:rPr>
        <w:t>, vol.LIII, no.111, august, 1999, Brill, Leiden, Boston , Koln, p.289</w:t>
      </w:r>
    </w:p>
  </w:footnote>
  <w:footnote w:id="21">
    <w:p w:rsidR="006D5BD6" w:rsidRPr="00B31D89" w:rsidRDefault="006D5BD6" w:rsidP="006D5BD6">
      <w:pPr>
        <w:pStyle w:val="FootnoteText"/>
        <w:ind w:left="-630" w:right="-540"/>
        <w:jc w:val="both"/>
        <w:rPr>
          <w:rFonts w:cs="Times New Roman"/>
          <w:sz w:val="20"/>
        </w:rPr>
      </w:pPr>
      <w:r w:rsidRPr="00B31D89">
        <w:rPr>
          <w:rStyle w:val="FootnoteCharacters"/>
          <w:sz w:val="20"/>
        </w:rPr>
        <w:t>47</w:t>
      </w:r>
      <w:r w:rsidRPr="00B31D89">
        <w:rPr>
          <w:rFonts w:cs="Times New Roman"/>
          <w:sz w:val="20"/>
        </w:rPr>
        <w:tab/>
        <w:t xml:space="preserve"> De exemplu Harnak ia notă despre existenţa învăţăturii despre îndumnezeirea omului la primii autori creştini dar îl laudă pe Augustin pentru că i-a pus capăt; a se v.: </w:t>
      </w:r>
      <w:r w:rsidRPr="00B31D89">
        <w:rPr>
          <w:rFonts w:cs="Times New Roman"/>
          <w:i/>
          <w:sz w:val="20"/>
        </w:rPr>
        <w:t>History of Dogma</w:t>
      </w:r>
      <w:r w:rsidRPr="00B31D89">
        <w:rPr>
          <w:rFonts w:cs="Times New Roman"/>
          <w:sz w:val="20"/>
        </w:rPr>
        <w:t xml:space="preserve">, Dover Publications,1961, 3:165 n.2. Excepţie face Jaroslav Pelikan, </w:t>
      </w:r>
      <w:r w:rsidRPr="00B31D89">
        <w:rPr>
          <w:rFonts w:cs="Times New Roman"/>
          <w:i/>
          <w:sz w:val="20"/>
        </w:rPr>
        <w:t>The Emergence of the Catholic Tradition</w:t>
      </w:r>
      <w:r w:rsidRPr="00B31D89">
        <w:rPr>
          <w:rFonts w:cs="Times New Roman"/>
          <w:sz w:val="20"/>
        </w:rPr>
        <w:t xml:space="preserve">, Chicago, 1971 şi  The Spirit of Easter Christendom, Chicago, 1974 </w:t>
      </w:r>
    </w:p>
  </w:footnote>
  <w:footnote w:id="22">
    <w:p w:rsidR="006D5BD6" w:rsidRPr="00B31D89" w:rsidRDefault="006D5BD6" w:rsidP="006D5BD6">
      <w:pPr>
        <w:pStyle w:val="FootnoteText"/>
        <w:ind w:left="-630" w:right="-540"/>
        <w:jc w:val="both"/>
        <w:rPr>
          <w:rFonts w:cs="Times New Roman"/>
          <w:sz w:val="20"/>
        </w:rPr>
      </w:pPr>
      <w:r w:rsidRPr="00B31D89">
        <w:rPr>
          <w:rStyle w:val="FootnoteCharacters"/>
          <w:sz w:val="20"/>
        </w:rPr>
        <w:t>48</w:t>
      </w:r>
      <w:r w:rsidRPr="00B31D89">
        <w:rPr>
          <w:rFonts w:cs="Times New Roman"/>
          <w:sz w:val="20"/>
        </w:rPr>
        <w:tab/>
        <w:t xml:space="preserve"> </w:t>
      </w:r>
      <w:r w:rsidRPr="00B31D89">
        <w:rPr>
          <w:rFonts w:cs="Times New Roman"/>
          <w:i/>
          <w:sz w:val="20"/>
        </w:rPr>
        <w:t>De Incarnatione</w:t>
      </w:r>
      <w:r w:rsidRPr="00B31D89">
        <w:rPr>
          <w:rFonts w:cs="Times New Roman"/>
          <w:sz w:val="20"/>
        </w:rPr>
        <w:t>, 54.11 sq.</w:t>
      </w:r>
    </w:p>
  </w:footnote>
  <w:footnote w:id="23">
    <w:p w:rsidR="006D5BD6" w:rsidRPr="00B31D89" w:rsidRDefault="006D5BD6" w:rsidP="006D5BD6">
      <w:pPr>
        <w:pStyle w:val="FootnoteText"/>
        <w:ind w:left="-630" w:right="-540"/>
        <w:jc w:val="both"/>
        <w:rPr>
          <w:rFonts w:cs="Times New Roman"/>
          <w:sz w:val="20"/>
        </w:rPr>
      </w:pPr>
      <w:r w:rsidRPr="00B31D89">
        <w:rPr>
          <w:rStyle w:val="FootnoteCharacters"/>
          <w:sz w:val="20"/>
        </w:rPr>
        <w:t>49</w:t>
      </w:r>
      <w:r w:rsidRPr="00B31D89">
        <w:rPr>
          <w:rFonts w:cs="Times New Roman"/>
          <w:sz w:val="20"/>
        </w:rPr>
        <w:tab/>
        <w:t xml:space="preserve"> Ex.: Charles T.Rines, </w:t>
      </w:r>
      <w:r w:rsidRPr="00B31D89">
        <w:rPr>
          <w:rFonts w:cs="Times New Roman"/>
          <w:i/>
          <w:sz w:val="20"/>
        </w:rPr>
        <w:t>The Concept of Deification in Clement of Alexandria</w:t>
      </w:r>
      <w:r w:rsidRPr="00B31D89">
        <w:rPr>
          <w:rFonts w:cs="Times New Roman"/>
          <w:sz w:val="20"/>
        </w:rPr>
        <w:t xml:space="preserve"> (1964), Keith Edward Norman, </w:t>
      </w:r>
      <w:r w:rsidRPr="00B31D89">
        <w:rPr>
          <w:rFonts w:cs="Times New Roman"/>
          <w:i/>
          <w:sz w:val="20"/>
        </w:rPr>
        <w:t xml:space="preserve">Deification: The Content of Athanasian Soteriology </w:t>
      </w:r>
      <w:r w:rsidRPr="00B31D89">
        <w:rPr>
          <w:rFonts w:cs="Times New Roman"/>
          <w:sz w:val="20"/>
        </w:rPr>
        <w:t xml:space="preserve">(Ph.D. Dissertation, Duke University, 1980), Laurence Rand, </w:t>
      </w:r>
      <w:r w:rsidRPr="00B31D89">
        <w:rPr>
          <w:rFonts w:cs="Times New Roman"/>
          <w:i/>
          <w:sz w:val="20"/>
        </w:rPr>
        <w:t>Flesh and Spirit: A Study of Eucharistic Deification in Cyril of Alexandria</w:t>
      </w:r>
      <w:r w:rsidRPr="00B31D89">
        <w:rPr>
          <w:rFonts w:cs="Times New Roman"/>
          <w:sz w:val="20"/>
        </w:rPr>
        <w:t>, (Berkley, 1983), la M.D.Nispel, op.cit., p.290</w:t>
      </w:r>
    </w:p>
  </w:footnote>
  <w:footnote w:id="24">
    <w:p w:rsidR="006D5BD6" w:rsidRPr="00B31D89" w:rsidRDefault="006D5BD6" w:rsidP="006D5BD6">
      <w:pPr>
        <w:pStyle w:val="FootnoteText"/>
        <w:ind w:left="-630" w:right="-540"/>
        <w:jc w:val="both"/>
        <w:rPr>
          <w:rFonts w:cs="Times New Roman"/>
          <w:sz w:val="20"/>
          <w:lang w:val="fr-FR"/>
        </w:rPr>
      </w:pPr>
      <w:r w:rsidRPr="00B31D89">
        <w:rPr>
          <w:rStyle w:val="FootnoteCharacters"/>
          <w:sz w:val="20"/>
        </w:rPr>
        <w:t>50</w:t>
      </w:r>
      <w:r w:rsidRPr="00B31D89">
        <w:rPr>
          <w:rFonts w:cs="Times New Roman"/>
          <w:sz w:val="20"/>
          <w:lang w:val="fr-FR"/>
        </w:rPr>
        <w:tab/>
        <w:t xml:space="preserve"> A se v.: Jules Gross,  </w:t>
      </w:r>
      <w:r w:rsidRPr="00B31D89">
        <w:rPr>
          <w:rFonts w:cs="Times New Roman"/>
          <w:i/>
          <w:sz w:val="20"/>
          <w:lang w:val="fr-FR"/>
        </w:rPr>
        <w:t>La Divinization du chretien d’apres les peres grecs</w:t>
      </w:r>
      <w:r w:rsidRPr="00B31D89">
        <w:rPr>
          <w:rFonts w:cs="Times New Roman"/>
          <w:sz w:val="20"/>
          <w:lang w:val="fr-FR"/>
        </w:rPr>
        <w:t>, Paris, 1938</w:t>
      </w:r>
    </w:p>
  </w:footnote>
  <w:footnote w:id="25">
    <w:p w:rsidR="006D5BD6" w:rsidRPr="00B31D89" w:rsidRDefault="006D5BD6" w:rsidP="006D5BD6">
      <w:pPr>
        <w:pStyle w:val="FootnoteText"/>
        <w:ind w:left="-630" w:right="-540"/>
        <w:jc w:val="both"/>
        <w:rPr>
          <w:rFonts w:cs="Times New Roman"/>
          <w:sz w:val="20"/>
          <w:lang w:val="nl-NL"/>
        </w:rPr>
      </w:pPr>
      <w:r w:rsidRPr="00B31D89">
        <w:rPr>
          <w:rStyle w:val="FootnoteCharacters"/>
          <w:sz w:val="20"/>
        </w:rPr>
        <w:t>51</w:t>
      </w:r>
      <w:r w:rsidRPr="00B31D89">
        <w:rPr>
          <w:rFonts w:cs="Times New Roman"/>
          <w:sz w:val="20"/>
          <w:lang w:val="nl-NL"/>
        </w:rPr>
        <w:tab/>
        <w:t xml:space="preserve"> M.D.Nispel, </w:t>
      </w:r>
      <w:r w:rsidRPr="00B31D89">
        <w:rPr>
          <w:rFonts w:cs="Times New Roman"/>
          <w:i/>
          <w:sz w:val="20"/>
          <w:lang w:val="nl-NL"/>
        </w:rPr>
        <w:t>op.cit</w:t>
      </w:r>
      <w:r w:rsidRPr="00B31D89">
        <w:rPr>
          <w:rFonts w:cs="Times New Roman"/>
          <w:sz w:val="20"/>
          <w:lang w:val="nl-NL"/>
        </w:rPr>
        <w:t>., p.290</w:t>
      </w:r>
    </w:p>
  </w:footnote>
  <w:footnote w:id="26">
    <w:p w:rsidR="006D5BD6" w:rsidRPr="00B31D89" w:rsidRDefault="006D5BD6" w:rsidP="006D5BD6">
      <w:pPr>
        <w:pStyle w:val="FootnoteText"/>
        <w:ind w:left="-630" w:right="-540"/>
        <w:jc w:val="both"/>
        <w:rPr>
          <w:rFonts w:cs="Times New Roman"/>
          <w:sz w:val="20"/>
        </w:rPr>
      </w:pPr>
      <w:r w:rsidRPr="00B31D89">
        <w:rPr>
          <w:rStyle w:val="FootnoteCharacters"/>
          <w:sz w:val="20"/>
        </w:rPr>
        <w:t>52</w:t>
      </w:r>
      <w:r w:rsidRPr="00B31D89">
        <w:rPr>
          <w:rFonts w:cs="Times New Roman"/>
          <w:sz w:val="20"/>
        </w:rPr>
        <w:tab/>
        <w:t xml:space="preserve"> </w:t>
      </w:r>
      <w:r w:rsidRPr="00C903B7">
        <w:rPr>
          <w:sz w:val="20"/>
          <w:lang w:val="fr-FR"/>
        </w:rPr>
        <w:t>Jerome H.Neyrey</w:t>
      </w:r>
      <w:r>
        <w:rPr>
          <w:lang w:val="fr-FR"/>
        </w:rPr>
        <w:t>,</w:t>
      </w:r>
      <w:r w:rsidRPr="00B31D89">
        <w:rPr>
          <w:rFonts w:cs="Times New Roman"/>
          <w:sz w:val="20"/>
        </w:rPr>
        <w:t xml:space="preserve"> „I said:You are gods”: Psalm 82:6 and John 10, în </w:t>
      </w:r>
      <w:r w:rsidRPr="00B31D89">
        <w:rPr>
          <w:rFonts w:cs="Times New Roman"/>
          <w:i/>
          <w:sz w:val="20"/>
        </w:rPr>
        <w:t>Journal of Biblical Literature</w:t>
      </w:r>
      <w:r w:rsidRPr="00B31D89">
        <w:rPr>
          <w:rFonts w:cs="Times New Roman"/>
          <w:sz w:val="20"/>
        </w:rPr>
        <w:t xml:space="preserve">, 108/4 (1989) </w:t>
      </w:r>
    </w:p>
  </w:footnote>
  <w:footnote w:id="27">
    <w:p w:rsidR="006D5BD6" w:rsidRPr="00B31D89" w:rsidRDefault="006D5BD6" w:rsidP="006D5BD6">
      <w:pPr>
        <w:pStyle w:val="FootnoteText"/>
        <w:ind w:left="-630" w:right="-540"/>
        <w:jc w:val="both"/>
        <w:rPr>
          <w:rFonts w:cs="Times New Roman"/>
          <w:sz w:val="20"/>
          <w:lang w:val="ro-RO"/>
        </w:rPr>
      </w:pPr>
      <w:r w:rsidRPr="00B31D89">
        <w:rPr>
          <w:rStyle w:val="FootnoteCharacters"/>
          <w:sz w:val="20"/>
        </w:rPr>
        <w:t>53</w:t>
      </w:r>
      <w:r w:rsidRPr="00B31D89">
        <w:rPr>
          <w:rFonts w:cs="Times New Roman"/>
          <w:sz w:val="20"/>
        </w:rPr>
        <w:tab/>
        <w:t xml:space="preserve"> </w:t>
      </w:r>
      <w:r w:rsidRPr="00B31D89">
        <w:rPr>
          <w:rFonts w:cs="Times New Roman"/>
          <w:i/>
          <w:sz w:val="20"/>
          <w:lang w:val="ro-RO"/>
        </w:rPr>
        <w:t xml:space="preserve">TTDE, </w:t>
      </w:r>
      <w:r w:rsidRPr="00B31D89">
        <w:rPr>
          <w:rFonts w:cs="Times New Roman"/>
          <w:sz w:val="20"/>
          <w:lang w:val="ro-RO"/>
        </w:rPr>
        <w:t>p.157-158</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defaultTabStop w:val="720"/>
  <w:characterSpacingControl w:val="doNotCompress"/>
  <w:footnotePr>
    <w:footnote w:id="0"/>
    <w:footnote w:id="1"/>
  </w:footnotePr>
  <w:endnotePr>
    <w:endnote w:id="0"/>
    <w:endnote w:id="1"/>
  </w:endnotePr>
  <w:compat/>
  <w:rsids>
    <w:rsidRoot w:val="006D5BD6"/>
    <w:rsid w:val="004836E6"/>
    <w:rsid w:val="006D5BD6"/>
    <w:rsid w:val="00A73651"/>
    <w:rsid w:val="00B65D42"/>
    <w:rsid w:val="00C75965"/>
    <w:rsid w:val="00D76875"/>
    <w:rsid w:val="00EC548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BD6"/>
    <w:pPr>
      <w:suppressAutoHyphens/>
      <w:spacing w:after="0" w:line="240" w:lineRule="auto"/>
    </w:pPr>
    <w:rPr>
      <w:rFonts w:ascii="Times New Roman" w:eastAsia="Times New Roman" w:hAnsi="Times New Roman" w:cs="Calibri"/>
      <w:sz w:val="24"/>
      <w:szCs w:val="24"/>
      <w:lang w:val="de-CH"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Characters">
    <w:name w:val="Footnote Characters"/>
    <w:basedOn w:val="DefaultParagraphFont"/>
    <w:rsid w:val="006D5BD6"/>
    <w:rPr>
      <w:vertAlign w:val="superscript"/>
    </w:rPr>
  </w:style>
  <w:style w:type="paragraph" w:styleId="FootnoteText">
    <w:name w:val="footnote text"/>
    <w:aliases w:val="Note de bas de page Car Car,Note de bas de page Car Caracter,Note de bas de page Car Caracter Caracter,Note de bas de page Car"/>
    <w:basedOn w:val="Normal"/>
    <w:link w:val="FootnoteTextChar1"/>
    <w:rsid w:val="006D5BD6"/>
    <w:rPr>
      <w:szCs w:val="20"/>
      <w:lang w:val="en-GB"/>
    </w:rPr>
  </w:style>
  <w:style w:type="character" w:customStyle="1" w:styleId="FootnoteTextChar">
    <w:name w:val="Footnote Text Char"/>
    <w:basedOn w:val="DefaultParagraphFont"/>
    <w:link w:val="FootnoteText"/>
    <w:uiPriority w:val="99"/>
    <w:semiHidden/>
    <w:rsid w:val="006D5BD6"/>
    <w:rPr>
      <w:rFonts w:ascii="Times New Roman" w:eastAsia="Times New Roman" w:hAnsi="Times New Roman" w:cs="Calibri"/>
      <w:sz w:val="20"/>
      <w:szCs w:val="20"/>
      <w:lang w:val="de-CH" w:eastAsia="ar-SA"/>
    </w:rPr>
  </w:style>
  <w:style w:type="character" w:customStyle="1" w:styleId="FootnoteTextChar1">
    <w:name w:val="Footnote Text Char1"/>
    <w:basedOn w:val="DefaultParagraphFont"/>
    <w:link w:val="FootnoteText"/>
    <w:rsid w:val="006D5BD6"/>
    <w:rPr>
      <w:rFonts w:ascii="Times New Roman" w:eastAsia="Times New Roman" w:hAnsi="Times New Roman" w:cs="Calibri"/>
      <w:sz w:val="24"/>
      <w:szCs w:val="20"/>
      <w:lang w:val="en-GB" w:eastAsia="ar-SA"/>
    </w:rPr>
  </w:style>
  <w:style w:type="paragraph" w:customStyle="1" w:styleId="itua">
    <w:name w:val="itua"/>
    <w:basedOn w:val="Normal"/>
    <w:rsid w:val="006D5BD6"/>
    <w:pPr>
      <w:ind w:right="-1168" w:firstLine="851"/>
      <w:jc w:val="both"/>
    </w:pPr>
    <w:rPr>
      <w:szCs w:val="20"/>
      <w:lang w:val="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3473</Words>
  <Characters>19797</Characters>
  <Application>Microsoft Office Word</Application>
  <DocSecurity>0</DocSecurity>
  <Lines>164</Lines>
  <Paragraphs>46</Paragraphs>
  <ScaleCrop>false</ScaleCrop>
  <Company/>
  <LinksUpToDate>false</LinksUpToDate>
  <CharactersWithSpaces>23224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NM</dc:creator>
  <cp:keywords/>
  <dc:description/>
  <cp:lastModifiedBy>NM</cp:lastModifiedBy>
  <cp:revision>1</cp:revision>
  <dcterms:created xsi:type="dcterms:W3CDTF">2013-12-08T19:21:00Z</dcterms:created>
  <dcterms:modified xsi:type="dcterms:W3CDTF">2013-12-08T19:23:00Z</dcterms:modified>
</cp:coreProperties>
</file>