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6A7E" w:rsidRPr="00B522CC" w:rsidRDefault="00EE6A7E" w:rsidP="00EE6A7E">
      <w:pPr>
        <w:pStyle w:val="Capitol"/>
      </w:pPr>
      <w:r w:rsidRPr="00B522CC">
        <w:t>Theognosia mistic-sacramentală</w:t>
      </w:r>
      <w:r w:rsidRPr="00B522CC">
        <w:br/>
        <w:t>în ambianţa ecclesială</w:t>
      </w:r>
    </w:p>
    <w:p w:rsidR="00EE6A7E" w:rsidRPr="00B522CC" w:rsidRDefault="00EE6A7E" w:rsidP="00EE6A7E">
      <w:pPr>
        <w:pStyle w:val="Text1"/>
        <w:rPr>
          <w:sz w:val="23"/>
          <w:szCs w:val="23"/>
        </w:rPr>
      </w:pPr>
    </w:p>
    <w:p w:rsidR="00EE6A7E" w:rsidRPr="00B522CC" w:rsidRDefault="00EE6A7E" w:rsidP="00EE6A7E">
      <w:pPr>
        <w:pStyle w:val="Text1"/>
        <w:rPr>
          <w:sz w:val="23"/>
          <w:szCs w:val="23"/>
        </w:rPr>
      </w:pPr>
      <w:r w:rsidRPr="00B522CC">
        <w:rPr>
          <w:sz w:val="23"/>
          <w:szCs w:val="23"/>
        </w:rPr>
        <w:t>Importanţa unei veritabile cunoaşteri duhovniceşti poate fi umbrită de asocierea semantică dintre cunoaştere şi învăţare mai degrabă decât trăire, dintre cunoaştere şi a cunoaşte, mai degrabă decât disponibilitatea de a cunoaşte</w:t>
      </w:r>
      <w:r w:rsidRPr="00B522CC">
        <w:rPr>
          <w:rStyle w:val="FootnoteReference"/>
          <w:sz w:val="23"/>
          <w:szCs w:val="23"/>
        </w:rPr>
        <w:footnoteReference w:id="1"/>
      </w:r>
      <w:r w:rsidRPr="00B522CC">
        <w:rPr>
          <w:sz w:val="23"/>
          <w:szCs w:val="23"/>
        </w:rPr>
        <w:t xml:space="preserve">. La începutul lucrării sale intitulate: </w:t>
      </w:r>
      <w:r w:rsidRPr="00B522CC">
        <w:rPr>
          <w:i/>
          <w:sz w:val="23"/>
          <w:szCs w:val="23"/>
        </w:rPr>
        <w:t>Dialectica</w:t>
      </w:r>
      <w:r w:rsidRPr="00B522CC">
        <w:rPr>
          <w:sz w:val="23"/>
          <w:szCs w:val="23"/>
        </w:rPr>
        <w:t>,</w:t>
      </w:r>
      <w:r w:rsidRPr="00B522CC">
        <w:rPr>
          <w:b/>
          <w:sz w:val="23"/>
          <w:szCs w:val="23"/>
        </w:rPr>
        <w:t xml:space="preserve"> </w:t>
      </w:r>
      <w:r w:rsidRPr="00B522CC">
        <w:rPr>
          <w:sz w:val="23"/>
          <w:szCs w:val="23"/>
        </w:rPr>
        <w:t>Sfântul Ioan Damaschin arată de ce este importantă cunoaşterea duhovnicească pentru viaţa creştină. Se subliniază relaţia nemijlocită dintre cunoaştere şi iubire, cunoaşterea lui Dumnezeu implicând asemănarea cu El. Cunoaşterea nu poate fi dobândită „la rece”, ci trebuie să aducă cu sine relaţia, altfel nu este cunoaştere. Şi, întrucât Dumnezeu este adevărul, a ajunge la adevăr înseamnă a ajunge la Dumnezeu, Cel care doreşte comuniunea şi relaţia. Din acest motiv, oamenilor li s-a conferit abilitatea de a cunoaşte, de a ajunge la Dumnezeu şi de a intra în comuniune cu El</w:t>
      </w:r>
      <w:r w:rsidRPr="00B522CC">
        <w:rPr>
          <w:rStyle w:val="FootnoteReference"/>
          <w:sz w:val="23"/>
          <w:szCs w:val="23"/>
        </w:rPr>
        <w:footnoteReference w:id="2"/>
      </w:r>
      <w:r w:rsidRPr="00B522CC">
        <w:rPr>
          <w:sz w:val="23"/>
          <w:szCs w:val="23"/>
        </w:rPr>
        <w:t>. „Filosofia este o imitare a lui Dumnezeu, deoarece, aşa cum Dumnezeu este înţelept şi căutarea înţelepciunii este în cele din urmă căutarea asemănării cu Dumnezeu”</w:t>
      </w:r>
      <w:r w:rsidRPr="00B522CC">
        <w:rPr>
          <w:rStyle w:val="FootnoteReference"/>
          <w:sz w:val="23"/>
          <w:szCs w:val="23"/>
        </w:rPr>
        <w:footnoteReference w:id="3"/>
      </w:r>
      <w:r w:rsidRPr="00B522CC">
        <w:rPr>
          <w:sz w:val="23"/>
          <w:szCs w:val="23"/>
        </w:rPr>
        <w:t>. Adevărata cunoaştere este în strânsă relaţie cu modul în care se obţine şi cu conţinutul său. Cunoaşterea, iubirea, credinţa şi asemănarea cu Dumnezeu nu pot fi despărţite, deoarece sunt focalizate spre Dumnezeu şi conduc spre El.</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Din cuprinsul rugăciunii arhiereşti a Domnului Iisus Hristos învăţăm că viaţa veşnică este cunoaşterea lui Dumnezeu: „</w:t>
      </w:r>
      <w:r w:rsidRPr="00B522CC">
        <w:rPr>
          <w:rFonts w:cs="Times New Roman"/>
          <w:i/>
          <w:sz w:val="23"/>
          <w:szCs w:val="23"/>
          <w:lang w:val="ro-RO"/>
        </w:rPr>
        <w:t>Şi aceasta este viaţa veşnică: Să Te cunoască pe Tine, singurul Dumnezeu adevărat, şi pe Iisus Hristos pe Care L-ai trimis</w:t>
      </w:r>
      <w:r w:rsidRPr="00B522CC">
        <w:rPr>
          <w:rFonts w:cs="Times New Roman"/>
          <w:sz w:val="23"/>
          <w:szCs w:val="23"/>
          <w:lang w:val="ro-RO"/>
        </w:rPr>
        <w:t xml:space="preserve"> (aute de estin he aionios zoe, ina ginoskosin se ton monon alethinos Theon kai hon apesteilas Iesoun Hriston)” (In. 17, 3). Viaţa veşnică o conferă Mântuitorul celor ce I-au fost încredinţaţi de către Tatăl: „</w:t>
      </w:r>
      <w:r w:rsidRPr="00B522CC">
        <w:rPr>
          <w:rFonts w:cs="Times New Roman"/>
          <w:i/>
          <w:sz w:val="23"/>
          <w:szCs w:val="23"/>
          <w:lang w:val="ro-RO"/>
        </w:rPr>
        <w:t xml:space="preserve">Precum I-ai dat stăpânire peste tot trupul, ca să dea viaţă veşnică tuturor celor pe care Tu i-ai dat Lui” </w:t>
      </w:r>
      <w:r w:rsidRPr="00B522CC">
        <w:rPr>
          <w:rFonts w:cs="Times New Roman"/>
          <w:sz w:val="23"/>
          <w:szCs w:val="23"/>
          <w:lang w:val="ro-RO"/>
        </w:rPr>
        <w:t xml:space="preserve">(In. 17, 2). Inspirat de aceste cuvinte, părintele Stăniloae afirma că scopul principal al vieţuirii noastre este acela de a-L cunoaşte pe Dumnezeu, întrucât </w:t>
      </w:r>
      <w:r w:rsidRPr="00B522CC">
        <w:rPr>
          <w:rFonts w:cs="Times New Roman"/>
          <w:i/>
          <w:sz w:val="23"/>
          <w:szCs w:val="23"/>
          <w:lang w:val="ro-RO"/>
        </w:rPr>
        <w:t>„Dumnezeu ne-a făcut pentru a-L cunoaşte</w:t>
      </w:r>
      <w:r w:rsidRPr="00B522CC">
        <w:rPr>
          <w:rFonts w:cs="Times New Roman"/>
          <w:sz w:val="23"/>
          <w:szCs w:val="23"/>
          <w:lang w:val="ro-RO"/>
        </w:rPr>
        <w:t xml:space="preserve"> (s.n.)”</w:t>
      </w:r>
      <w:r w:rsidRPr="00B522CC">
        <w:rPr>
          <w:rStyle w:val="FootnoteReference"/>
          <w:rFonts w:cs="Times New Roman"/>
          <w:sz w:val="23"/>
          <w:szCs w:val="23"/>
          <w:lang w:val="ro-RO"/>
        </w:rPr>
        <w:footnoteReference w:id="4"/>
      </w:r>
      <w:r w:rsidRPr="00B522CC">
        <w:rPr>
          <w:rFonts w:cs="Times New Roman"/>
          <w:sz w:val="23"/>
          <w:szCs w:val="23"/>
          <w:lang w:val="ro-RO"/>
        </w:rPr>
        <w:t>. Cunoşterea lui Dumnezeu şi a lumii nu este opţională, ci ne aparţine în mod ontologic, ca dar şi chemare în acelaşi timp.</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Martin Heidegger considera că serioasele dificultăţi epistemologice care persistă în filosofia şi ştiinţa modernă se datorează în primul rând despărţirii procesului conceptualizării de realitate, precum şi dominaţiei formulărilor abstracte despre natură</w:t>
      </w:r>
      <w:r w:rsidRPr="00B522CC">
        <w:rPr>
          <w:rStyle w:val="FootnoteReference"/>
          <w:rFonts w:cs="Times New Roman"/>
          <w:sz w:val="23"/>
          <w:szCs w:val="23"/>
          <w:lang w:val="ro-RO"/>
        </w:rPr>
        <w:footnoteReference w:id="5"/>
      </w:r>
      <w:r w:rsidRPr="00B522CC">
        <w:rPr>
          <w:rFonts w:cs="Times New Roman"/>
          <w:sz w:val="23"/>
          <w:szCs w:val="23"/>
          <w:lang w:val="ro-RO"/>
        </w:rPr>
        <w:t>. Încă din Grecia antică, observa Thomas F. Torrance</w:t>
      </w:r>
      <w:r w:rsidRPr="00B522CC">
        <w:rPr>
          <w:rStyle w:val="FootnoteReference"/>
          <w:rFonts w:cs="Times New Roman"/>
          <w:sz w:val="23"/>
          <w:szCs w:val="23"/>
          <w:lang w:val="ro-RO"/>
        </w:rPr>
        <w:footnoteReference w:id="6"/>
      </w:r>
      <w:r w:rsidRPr="00B522CC">
        <w:rPr>
          <w:rFonts w:cs="Times New Roman"/>
          <w:sz w:val="23"/>
          <w:szCs w:val="23"/>
          <w:lang w:val="ro-RO"/>
        </w:rPr>
        <w:t>, raţiunea şi fiinţa (</w:t>
      </w:r>
      <w:r w:rsidRPr="00B522CC">
        <w:rPr>
          <w:rFonts w:cs="Times New Roman"/>
          <w:i/>
          <w:sz w:val="23"/>
          <w:szCs w:val="23"/>
          <w:lang w:val="ro-RO"/>
        </w:rPr>
        <w:t>logos</w:t>
      </w:r>
      <w:r w:rsidRPr="00B522CC">
        <w:rPr>
          <w:rFonts w:cs="Times New Roman"/>
          <w:sz w:val="23"/>
          <w:szCs w:val="23"/>
          <w:lang w:val="ro-RO"/>
        </w:rPr>
        <w:t xml:space="preserve"> şi </w:t>
      </w:r>
      <w:r w:rsidRPr="00B522CC">
        <w:rPr>
          <w:rFonts w:cs="Times New Roman"/>
          <w:i/>
          <w:sz w:val="23"/>
          <w:szCs w:val="23"/>
          <w:lang w:val="ro-RO"/>
        </w:rPr>
        <w:t>physis</w:t>
      </w:r>
      <w:r w:rsidRPr="00B522CC">
        <w:rPr>
          <w:rFonts w:cs="Times New Roman"/>
          <w:sz w:val="23"/>
          <w:szCs w:val="23"/>
          <w:lang w:val="ro-RO"/>
        </w:rPr>
        <w:t>) au început să se despartă, iar extinderea procesului gândirii abstracte a dus la asumarea de către raţiune a statutului de lege asupra fiinţei, operând prin impunerea unor modele abstracte de gândire, fiinţei</w:t>
      </w:r>
      <w:r w:rsidRPr="00B522CC">
        <w:rPr>
          <w:rStyle w:val="FootnoteReference"/>
          <w:rFonts w:cs="Times New Roman"/>
          <w:sz w:val="23"/>
          <w:szCs w:val="23"/>
          <w:lang w:val="ro-RO"/>
        </w:rPr>
        <w:footnoteReference w:id="7"/>
      </w:r>
      <w:r w:rsidRPr="00B522CC">
        <w:rPr>
          <w:rFonts w:cs="Times New Roman"/>
          <w:sz w:val="23"/>
          <w:szCs w:val="23"/>
          <w:lang w:val="ro-RO"/>
        </w:rPr>
        <w:t xml:space="preserve">. Se pare că Heidegger s-a inspirat din reacţia lui John Duns Scotus la învăţătura lui Thomas Aquinas. Scotus dorea să stabilească o epistemologie mai realistă în care să domine o relaţie directă între raţiune şi fiinţă, fără imagini intermediare ale realităţii, de aceea a pledat pentru o diminuare a proceselor de gândire abstractă. Detaşarea dualistă a gândirii de fiinţă a fost oprită în primele secole ale erei creştine, când Părinţii, pe baza înţelegerii creştine a creaţiei şi a Întrupării, au accentuat că atât materia cât şi forma Universului au fost create de Dumnezeu din nimic şi sunt unite indisolubil </w:t>
      </w:r>
      <w:r w:rsidRPr="00B522CC">
        <w:rPr>
          <w:rFonts w:cs="Times New Roman"/>
          <w:sz w:val="23"/>
          <w:szCs w:val="23"/>
          <w:lang w:val="ro-RO"/>
        </w:rPr>
        <w:lastRenderedPageBreak/>
        <w:t>într-o singură ordine raţională contingentă ce pătrunde întreaga natură. Teologia creştină a respins astfel premisele deterministe ale filosofiei şi ştiinţei greceşti, relaţia necesară între lume şi Dumnezeu, şi, totodată, despărţirea tranşantă dintre materie şi formă. Urmarea a fost deschiderea drumului unei ştiinţe naturale realiste în care cunoaşterea Universului poate fi stabilită sub controlul obiectiv al realităţii contingente independente şi al inteligibilităţii inerente conferite de Dumnezeu, devenind posibilă investigarea empirică a naturii, a proceselor intrinseci şi a modelelor lor ascunse, precum şi dezvoltarea modalităţilor autonome de investigaţie ştiinţifică proprie formulării autonome a legilor naturii</w:t>
      </w:r>
      <w:r w:rsidRPr="00B522CC">
        <w:rPr>
          <w:rStyle w:val="FootnoteReference"/>
          <w:rFonts w:cs="Times New Roman"/>
          <w:sz w:val="23"/>
          <w:szCs w:val="23"/>
          <w:lang w:val="ro-RO"/>
        </w:rPr>
        <w:footnoteReference w:id="8"/>
      </w:r>
      <w:r w:rsidRPr="00B522CC">
        <w:rPr>
          <w:rFonts w:cs="Times New Roman"/>
          <w:sz w:val="23"/>
          <w:szCs w:val="23"/>
          <w:lang w:val="ro-RO"/>
        </w:rPr>
        <w:t xml:space="preserve">. Însă modelul pre-creştin al ştiinţei a dominat, excluzându-se din domeniul cunoaşterii autentice orice ţinea de natura contingentă. Timp de peste un mileniu, metafizica augustiniană şi cea aristotelică s-au combinat şi au menţinut un mod de gândire dualist, obstrucţionând apariţia ştiinţei empirice şi prin existenţa unei concepţii intelectualiste despre adevăr ca „adecvarea intelectului la </w:t>
      </w:r>
      <w:r w:rsidRPr="00B522CC">
        <w:rPr>
          <w:rFonts w:cs="Times New Roman"/>
          <w:i/>
          <w:sz w:val="23"/>
          <w:szCs w:val="23"/>
          <w:lang w:val="ro-RO"/>
        </w:rPr>
        <w:t>realitate</w:t>
      </w:r>
      <w:r w:rsidRPr="00B522CC">
        <w:rPr>
          <w:rFonts w:cs="Times New Roman"/>
          <w:sz w:val="23"/>
          <w:szCs w:val="23"/>
          <w:lang w:val="ro-RO"/>
        </w:rPr>
        <w:t xml:space="preserve"> (s.n.)”, care tindea să ducă, de fapt, la corespondenţa dintre </w:t>
      </w:r>
      <w:r w:rsidRPr="00B522CC">
        <w:rPr>
          <w:rFonts w:cs="Times New Roman"/>
          <w:i/>
          <w:sz w:val="23"/>
          <w:szCs w:val="23"/>
          <w:lang w:val="ro-RO"/>
        </w:rPr>
        <w:t>realitate</w:t>
      </w:r>
      <w:r w:rsidRPr="00B522CC">
        <w:rPr>
          <w:rFonts w:cs="Times New Roman"/>
          <w:sz w:val="23"/>
          <w:szCs w:val="23"/>
          <w:lang w:val="ro-RO"/>
        </w:rPr>
        <w:t xml:space="preserve"> şi înţelegerea umană</w:t>
      </w:r>
      <w:r w:rsidRPr="00B522CC">
        <w:rPr>
          <w:rStyle w:val="FootnoteReference"/>
          <w:rFonts w:cs="Times New Roman"/>
          <w:sz w:val="23"/>
          <w:szCs w:val="23"/>
          <w:lang w:val="ro-RO"/>
        </w:rPr>
        <w:footnoteReference w:id="9"/>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Mircea Eliade afirma după mulţi ani de cercetare asiduă, că „este greu să ne imaginăm cum ar putea funcţiona spiritul uman fără a avea convingerea că ceva ireductibil</w:t>
      </w:r>
      <w:r w:rsidRPr="00B522CC">
        <w:rPr>
          <w:rFonts w:cs="Times New Roman"/>
          <w:i/>
          <w:sz w:val="23"/>
          <w:szCs w:val="23"/>
          <w:lang w:val="ro-RO"/>
        </w:rPr>
        <w:t xml:space="preserve"> real</w:t>
      </w:r>
      <w:r w:rsidRPr="00B522CC">
        <w:rPr>
          <w:rFonts w:cs="Times New Roman"/>
          <w:sz w:val="23"/>
          <w:szCs w:val="23"/>
          <w:lang w:val="ro-RO"/>
        </w:rPr>
        <w:t xml:space="preserve"> (s.n.) există în lume; şi este cu neputinţă să ne închipuim cum ar putea să apară conştiinţa, fără a conferi o semnificaţie impulsiunilor şi experienţelor omului. Conştiinţa unei lumi </w:t>
      </w:r>
      <w:r w:rsidRPr="00B522CC">
        <w:rPr>
          <w:rFonts w:cs="Times New Roman"/>
          <w:i/>
          <w:sz w:val="23"/>
          <w:szCs w:val="23"/>
          <w:lang w:val="ro-RO"/>
        </w:rPr>
        <w:t xml:space="preserve">reale </w:t>
      </w:r>
      <w:r w:rsidRPr="00B522CC">
        <w:rPr>
          <w:rFonts w:cs="Times New Roman"/>
          <w:sz w:val="23"/>
          <w:szCs w:val="23"/>
          <w:lang w:val="ro-RO"/>
        </w:rPr>
        <w:t xml:space="preserve">(s.n.) şi semnificative este strâns legată de descoperirea sacrului. Prin experienţa sacrului, spiritul uman a sesizat diferenţa între ceea ce se revelează ca fiind </w:t>
      </w:r>
      <w:r w:rsidRPr="00B522CC">
        <w:rPr>
          <w:rFonts w:cs="Times New Roman"/>
          <w:i/>
          <w:sz w:val="23"/>
          <w:szCs w:val="23"/>
          <w:lang w:val="ro-RO"/>
        </w:rPr>
        <w:t>real</w:t>
      </w:r>
      <w:r w:rsidRPr="00B522CC">
        <w:rPr>
          <w:rFonts w:cs="Times New Roman"/>
          <w:sz w:val="23"/>
          <w:szCs w:val="23"/>
          <w:lang w:val="ro-RO"/>
        </w:rPr>
        <w:t xml:space="preserve"> (s.n.), puternic, bogat şi semnificativ, şi ceea ce este lipsit de aceste calităţi, adică curgerea haotică şi periculoasă a lucrurilor, apariţiile şi dispariţiile lor fortuite şi vide de sens”</w:t>
      </w:r>
      <w:r w:rsidRPr="00B522CC">
        <w:rPr>
          <w:rStyle w:val="FootnoteReference"/>
          <w:rFonts w:cs="Times New Roman"/>
          <w:sz w:val="23"/>
          <w:szCs w:val="23"/>
          <w:lang w:val="ro-RO"/>
        </w:rPr>
        <w:footnoteReference w:id="10"/>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 xml:space="preserve">Noţiunea de </w:t>
      </w:r>
      <w:r w:rsidRPr="00B522CC">
        <w:rPr>
          <w:rFonts w:cs="Times New Roman"/>
          <w:i/>
          <w:sz w:val="23"/>
          <w:szCs w:val="23"/>
          <w:lang w:val="ro-RO"/>
        </w:rPr>
        <w:t>real</w:t>
      </w:r>
      <w:r w:rsidRPr="00B522CC">
        <w:rPr>
          <w:rFonts w:cs="Times New Roman"/>
          <w:sz w:val="23"/>
          <w:szCs w:val="23"/>
          <w:lang w:val="ro-RO"/>
        </w:rPr>
        <w:t xml:space="preserve"> a cunoscut schimbări mari în evoluţia recentă a epistemologiei</w:t>
      </w:r>
      <w:r w:rsidRPr="00B522CC">
        <w:rPr>
          <w:rStyle w:val="FootnoteReference"/>
          <w:rFonts w:cs="Times New Roman"/>
          <w:sz w:val="23"/>
          <w:szCs w:val="23"/>
          <w:lang w:val="ro-RO"/>
        </w:rPr>
        <w:footnoteReference w:id="11"/>
      </w:r>
      <w:r w:rsidRPr="00B522CC">
        <w:rPr>
          <w:rFonts w:cs="Times New Roman"/>
          <w:sz w:val="23"/>
          <w:szCs w:val="23"/>
          <w:lang w:val="ro-RO"/>
        </w:rPr>
        <w:t xml:space="preserve">. Realul este apropiat de </w:t>
      </w:r>
      <w:r w:rsidRPr="00B522CC">
        <w:rPr>
          <w:rFonts w:cs="Times New Roman"/>
          <w:i/>
          <w:sz w:val="23"/>
          <w:szCs w:val="23"/>
          <w:lang w:val="ro-RO"/>
        </w:rPr>
        <w:t>res</w:t>
      </w:r>
      <w:r w:rsidRPr="00B522CC">
        <w:rPr>
          <w:rFonts w:cs="Times New Roman"/>
          <w:sz w:val="23"/>
          <w:szCs w:val="23"/>
          <w:lang w:val="ro-RO"/>
        </w:rPr>
        <w:t xml:space="preserve"> din filosofia clasică şi de </w:t>
      </w:r>
      <w:r w:rsidRPr="00B522CC">
        <w:rPr>
          <w:rFonts w:cs="Times New Roman"/>
          <w:i/>
          <w:sz w:val="23"/>
          <w:szCs w:val="23"/>
          <w:lang w:val="ro-RO"/>
        </w:rPr>
        <w:t>noumenul</w:t>
      </w:r>
      <w:r w:rsidRPr="00B522CC">
        <w:rPr>
          <w:rFonts w:cs="Times New Roman"/>
          <w:sz w:val="23"/>
          <w:szCs w:val="23"/>
          <w:lang w:val="ro-RO"/>
        </w:rPr>
        <w:t xml:space="preserve"> kantian. Teologia nu poate exista fără a avea un </w:t>
      </w:r>
      <w:r w:rsidRPr="00B522CC">
        <w:rPr>
          <w:rFonts w:cs="Times New Roman"/>
          <w:i/>
          <w:sz w:val="23"/>
          <w:szCs w:val="23"/>
          <w:lang w:val="ro-RO"/>
        </w:rPr>
        <w:t>real</w:t>
      </w:r>
      <w:r w:rsidRPr="00B522CC">
        <w:rPr>
          <w:rFonts w:cs="Times New Roman"/>
          <w:sz w:val="23"/>
          <w:szCs w:val="23"/>
          <w:lang w:val="ro-RO"/>
        </w:rPr>
        <w:t xml:space="preserve">. Acest </w:t>
      </w:r>
      <w:r w:rsidRPr="00B522CC">
        <w:rPr>
          <w:rFonts w:cs="Times New Roman"/>
          <w:i/>
          <w:sz w:val="23"/>
          <w:szCs w:val="23"/>
          <w:lang w:val="ro-RO"/>
        </w:rPr>
        <w:t>real</w:t>
      </w:r>
      <w:r w:rsidRPr="00B522CC">
        <w:rPr>
          <w:rFonts w:cs="Times New Roman"/>
          <w:sz w:val="23"/>
          <w:szCs w:val="23"/>
          <w:lang w:val="ro-RO"/>
        </w:rPr>
        <w:t xml:space="preserve"> al teologiei nu este, în opinia lui J. Ansaldi, nici Dumnezeu, nici omul credincios, ci întâlnirea lor în credinţă. </w:t>
      </w:r>
      <w:r w:rsidRPr="00B522CC">
        <w:rPr>
          <w:rFonts w:cs="Times New Roman"/>
          <w:i/>
          <w:sz w:val="23"/>
          <w:szCs w:val="23"/>
          <w:lang w:val="ro-RO"/>
        </w:rPr>
        <w:t>Realul</w:t>
      </w:r>
      <w:r w:rsidRPr="00B522CC">
        <w:rPr>
          <w:rFonts w:cs="Times New Roman"/>
          <w:sz w:val="23"/>
          <w:szCs w:val="23"/>
          <w:lang w:val="ro-RO"/>
        </w:rPr>
        <w:t xml:space="preserve"> teologiei este credinţa, fapt ce nu înseamnă că omul şi Dumnezeu consideraţi separat nu ar fi </w:t>
      </w:r>
      <w:r w:rsidRPr="00B522CC">
        <w:rPr>
          <w:rFonts w:cs="Times New Roman"/>
          <w:i/>
          <w:sz w:val="23"/>
          <w:szCs w:val="23"/>
          <w:lang w:val="ro-RO"/>
        </w:rPr>
        <w:t>reali.</w:t>
      </w:r>
      <w:r w:rsidRPr="00B522CC">
        <w:rPr>
          <w:rFonts w:cs="Times New Roman"/>
          <w:sz w:val="23"/>
          <w:szCs w:val="23"/>
          <w:lang w:val="ro-RO"/>
        </w:rPr>
        <w:t xml:space="preserve"> Credinţa ţine de întâlnire care presupune o mişcare dublă: prezenţa simţită a lui Dumnezeu şi răspunsul omului (</w:t>
      </w:r>
      <w:r w:rsidRPr="00B522CC">
        <w:rPr>
          <w:rFonts w:cs="Times New Roman"/>
          <w:i/>
          <w:sz w:val="23"/>
          <w:szCs w:val="23"/>
          <w:lang w:val="ro-RO"/>
        </w:rPr>
        <w:t>fides hominis</w:t>
      </w:r>
      <w:r w:rsidRPr="00B522CC">
        <w:rPr>
          <w:rFonts w:cs="Times New Roman"/>
          <w:sz w:val="23"/>
          <w:szCs w:val="23"/>
          <w:lang w:val="ro-RO"/>
        </w:rPr>
        <w:t xml:space="preserve">). Îmbrăcat în Hristos la Botez, omul devine </w:t>
      </w:r>
      <w:r w:rsidRPr="00B522CC">
        <w:rPr>
          <w:rFonts w:cs="Times New Roman"/>
          <w:i/>
          <w:sz w:val="23"/>
          <w:szCs w:val="23"/>
          <w:lang w:val="ro-RO"/>
        </w:rPr>
        <w:t>[homo] theologicus</w:t>
      </w:r>
      <w:r w:rsidRPr="00B522CC">
        <w:rPr>
          <w:rFonts w:cs="Times New Roman"/>
          <w:sz w:val="23"/>
          <w:szCs w:val="23"/>
          <w:lang w:val="ro-RO"/>
        </w:rPr>
        <w:t xml:space="preserve">. </w:t>
      </w:r>
      <w:r w:rsidRPr="00B522CC">
        <w:rPr>
          <w:rFonts w:cs="Times New Roman"/>
          <w:i/>
          <w:sz w:val="23"/>
          <w:szCs w:val="23"/>
          <w:lang w:val="ro-RO"/>
        </w:rPr>
        <w:t xml:space="preserve">Realitatea </w:t>
      </w:r>
      <w:r w:rsidRPr="00B522CC">
        <w:rPr>
          <w:rFonts w:cs="Times New Roman"/>
          <w:sz w:val="23"/>
          <w:szCs w:val="23"/>
          <w:lang w:val="ro-RO"/>
        </w:rPr>
        <w:t xml:space="preserve">întâlnirii cu Hristos în actul convertirii şi al Botezului este descrisă de Sfântul Apostol Pavel, atunci când relatează experienţa sa de pe drumul Damascului (F. Ap. 22, 9). Saul a primit atunci marele dar al vederii luminii dumnezeieşti, a treia treaptă a apofatismului. Învăluit în lumină, trăieşte viu şi nemijlocit </w:t>
      </w:r>
      <w:r w:rsidRPr="00B522CC">
        <w:rPr>
          <w:rFonts w:cs="Times New Roman"/>
          <w:i/>
          <w:sz w:val="23"/>
          <w:szCs w:val="23"/>
          <w:lang w:val="ro-RO"/>
        </w:rPr>
        <w:t>realitatea</w:t>
      </w:r>
      <w:r w:rsidRPr="00B522CC">
        <w:rPr>
          <w:rFonts w:cs="Times New Roman"/>
          <w:sz w:val="23"/>
          <w:szCs w:val="23"/>
          <w:lang w:val="ro-RO"/>
        </w:rPr>
        <w:t xml:space="preserve"> întâlnirii cu Hristos cel înviat. „Lumina Ta, Dumnezeul meu, eşti Tu!”</w:t>
      </w:r>
      <w:r w:rsidRPr="00B522CC">
        <w:rPr>
          <w:rStyle w:val="FootnoteReference"/>
          <w:rFonts w:cs="Times New Roman"/>
          <w:sz w:val="23"/>
          <w:szCs w:val="23"/>
          <w:lang w:val="ro-RO"/>
        </w:rPr>
        <w:footnoteReference w:id="12"/>
      </w:r>
      <w:r w:rsidRPr="00B522CC">
        <w:rPr>
          <w:rFonts w:cs="Times New Roman"/>
          <w:sz w:val="23"/>
          <w:szCs w:val="23"/>
          <w:lang w:val="ro-RO"/>
        </w:rPr>
        <w:t xml:space="preserve"> avea să afirme Sfântul Simeon Noul Teolog. Lumina nu este ceva impersonal, ci Hristos însuşi în descoperirea Sa. Persoana transcende natura, Se face cunoscută prin energiile necreate. Orbit „</w:t>
      </w:r>
      <w:r w:rsidRPr="00B522CC">
        <w:rPr>
          <w:rFonts w:cs="Times New Roman"/>
          <w:i/>
          <w:sz w:val="23"/>
          <w:szCs w:val="23"/>
          <w:lang w:val="ro-RO"/>
        </w:rPr>
        <w:t>din cauza strălucirii acelei lumini</w:t>
      </w:r>
      <w:r w:rsidRPr="00B522CC">
        <w:rPr>
          <w:rFonts w:cs="Times New Roman"/>
          <w:sz w:val="23"/>
          <w:szCs w:val="23"/>
          <w:lang w:val="ro-RO"/>
        </w:rPr>
        <w:t>” (F. Ap. 22, 11), deoarece fusese nepregătit pentru această întâlnire, Saul avea să se boteze (F. Ap. 22, 16), să se îmbrace în Hristos odată pentru totdeauna, să-L cunoască în mod nemijlocit, avea să trăiască „</w:t>
      </w:r>
      <w:r w:rsidRPr="00B522CC">
        <w:rPr>
          <w:rFonts w:cs="Times New Roman"/>
          <w:i/>
          <w:sz w:val="23"/>
          <w:szCs w:val="23"/>
          <w:lang w:val="ro-RO"/>
        </w:rPr>
        <w:t>iar şi iar</w:t>
      </w:r>
      <w:r w:rsidRPr="00B522CC">
        <w:rPr>
          <w:rFonts w:cs="Times New Roman"/>
          <w:sz w:val="23"/>
          <w:szCs w:val="23"/>
          <w:lang w:val="ro-RO"/>
        </w:rPr>
        <w:t xml:space="preserve">” experienţa baptismală, </w:t>
      </w:r>
      <w:r w:rsidRPr="00B522CC">
        <w:rPr>
          <w:rFonts w:cs="Times New Roman"/>
          <w:i/>
          <w:sz w:val="23"/>
          <w:szCs w:val="23"/>
          <w:lang w:val="ro-RO"/>
        </w:rPr>
        <w:t>realitatea</w:t>
      </w:r>
      <w:r w:rsidRPr="00B522CC">
        <w:rPr>
          <w:rFonts w:cs="Times New Roman"/>
          <w:sz w:val="23"/>
          <w:szCs w:val="23"/>
          <w:lang w:val="ro-RO"/>
        </w:rPr>
        <w:t xml:space="preserve"> întâlnirii decisive cu Hristos schimbându-i radical viaţa, aceasta devenind dovada vie şi permanentă a </w:t>
      </w:r>
      <w:r w:rsidRPr="00B522CC">
        <w:rPr>
          <w:rFonts w:cs="Times New Roman"/>
          <w:i/>
          <w:sz w:val="23"/>
          <w:szCs w:val="23"/>
          <w:lang w:val="ro-RO"/>
        </w:rPr>
        <w:t>realităţii</w:t>
      </w:r>
      <w:r w:rsidRPr="00B522CC">
        <w:rPr>
          <w:rFonts w:cs="Times New Roman"/>
          <w:sz w:val="23"/>
          <w:szCs w:val="23"/>
          <w:lang w:val="ro-RO"/>
        </w:rPr>
        <w:t xml:space="preserve"> acelei întâlniri. Nu înseamnă că se </w:t>
      </w:r>
      <w:r w:rsidRPr="00B522CC">
        <w:rPr>
          <w:rFonts w:cs="Times New Roman"/>
          <w:sz w:val="23"/>
          <w:szCs w:val="23"/>
          <w:lang w:val="ro-RO"/>
        </w:rPr>
        <w:lastRenderedPageBreak/>
        <w:t>afla mereu în starea ekstatică a perceperii luminii dumnezeieşti, dar odată ce a avut această experienţă, credinţa ca tensiune, ca dinamică, devine tot mai intensă.</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 xml:space="preserve">În mod minunat şi cu aceeaşi relevanţă gnoseologică supremă, va descrie şi Nicolae Steinhardt întâlnirea sa </w:t>
      </w:r>
      <w:r w:rsidRPr="00B522CC">
        <w:rPr>
          <w:rFonts w:cs="Times New Roman"/>
          <w:i/>
          <w:sz w:val="23"/>
          <w:szCs w:val="23"/>
          <w:lang w:val="ro-RO"/>
        </w:rPr>
        <w:t>reală</w:t>
      </w:r>
      <w:r w:rsidRPr="00B522CC">
        <w:rPr>
          <w:rFonts w:cs="Times New Roman"/>
          <w:sz w:val="23"/>
          <w:szCs w:val="23"/>
          <w:lang w:val="ro-RO"/>
        </w:rPr>
        <w:t xml:space="preserve"> cu Hristos prin Sfânta Taină a Botezului săvârşită, în secret, în lagărul morţii. Şi schimbarea sa a fost radicală, ajungând un teolog de mare fineţe şi un monah cu alese virtuţi. Părintele scria: „Cine a fost creştinat de mic copil nu are de unde să ştie şi nu poate bănui ce înseamnă botezul. Asupra mea se zoresc clipă de clipă tot mai dese asalturi ale fericirii. S-ar zice că de fiecare dată asediatorii urcă mai sus şi lovesc mai cu poftă, cu precizie. Va să zică este adevărat: este adevărat că Botezul este o Sfântă Taină, că există Sfintele Taine. Altminteri fericirea aceasta care mă împresoară, mă cuprinde, mă îmbracă, mă învinge n-ar putea fi atât de neînchipuit de minunată şi deplină. Linişte. Şi o absolută nepăsare. Faţă de toate</w:t>
      </w:r>
      <w:r w:rsidRPr="00B522CC">
        <w:rPr>
          <w:rStyle w:val="FootnoteCharacters"/>
          <w:rFonts w:cs="Times New Roman"/>
          <w:sz w:val="23"/>
          <w:szCs w:val="23"/>
          <w:lang w:val="ro-RO"/>
        </w:rPr>
        <w:footnoteReference w:customMarkFollows="1" w:id="13"/>
        <w:t>13</w:t>
      </w:r>
      <w:r w:rsidRPr="00B522CC">
        <w:rPr>
          <w:rFonts w:cs="Times New Roman"/>
          <w:sz w:val="23"/>
          <w:szCs w:val="23"/>
          <w:lang w:val="ro-RO"/>
        </w:rPr>
        <w:t xml:space="preserve">. Şi o dulceaţă. În gură, în vine, </w:t>
      </w:r>
      <w:r w:rsidRPr="00B522CC">
        <w:rPr>
          <w:rFonts w:cs="Times New Roman"/>
          <w:i/>
          <w:sz w:val="23"/>
          <w:szCs w:val="23"/>
          <w:lang w:val="ro-RO"/>
        </w:rPr>
        <w:t>în</w:t>
      </w:r>
      <w:r w:rsidRPr="00B522CC">
        <w:rPr>
          <w:rFonts w:cs="Times New Roman"/>
          <w:sz w:val="23"/>
          <w:szCs w:val="23"/>
          <w:lang w:val="ro-RO"/>
        </w:rPr>
        <w:t xml:space="preserve"> </w:t>
      </w:r>
      <w:r w:rsidRPr="00B522CC">
        <w:rPr>
          <w:rFonts w:cs="Times New Roman"/>
          <w:i/>
          <w:sz w:val="23"/>
          <w:szCs w:val="23"/>
          <w:lang w:val="ro-RO"/>
        </w:rPr>
        <w:t>muşchi</w:t>
      </w:r>
      <w:r w:rsidRPr="00B522CC">
        <w:rPr>
          <w:rFonts w:cs="Times New Roman"/>
          <w:sz w:val="23"/>
          <w:szCs w:val="23"/>
          <w:lang w:val="ro-RO"/>
        </w:rPr>
        <w:t>. Totodată o resemnare, senzaţia că aş putea face orice, imboldul de a ierta pe oricine, un zâmbet îngăduitor care se împrăştie pretutindeni, nu localizat pe buze. Şi un fel de strat de aer blând în jur</w:t>
      </w:r>
      <w:r w:rsidRPr="00B522CC">
        <w:rPr>
          <w:rStyle w:val="FootnoteReference"/>
          <w:rFonts w:cs="Times New Roman"/>
          <w:sz w:val="23"/>
          <w:szCs w:val="23"/>
          <w:lang w:val="ro-RO"/>
        </w:rPr>
        <w:footnoteReference w:id="14"/>
      </w:r>
      <w:r w:rsidRPr="00B522CC">
        <w:rPr>
          <w:rFonts w:cs="Times New Roman"/>
          <w:sz w:val="23"/>
          <w:szCs w:val="23"/>
          <w:lang w:val="ro-RO"/>
        </w:rPr>
        <w:t>, o atmosferă asemănătoare cu aceea din unele cărţi ale copilăriei. Un simţământ de siguranţă absolută”</w:t>
      </w:r>
      <w:r w:rsidRPr="00B522CC">
        <w:rPr>
          <w:rStyle w:val="FootnoteReference"/>
          <w:rFonts w:cs="Times New Roman"/>
          <w:sz w:val="23"/>
          <w:szCs w:val="23"/>
          <w:lang w:val="ro-RO"/>
        </w:rPr>
        <w:footnoteReference w:id="15"/>
      </w:r>
      <w:r w:rsidRPr="00B522CC">
        <w:rPr>
          <w:rFonts w:cs="Times New Roman"/>
          <w:sz w:val="23"/>
          <w:szCs w:val="23"/>
          <w:lang w:val="ro-RO"/>
        </w:rPr>
        <w:t>. Întrebat ce crede despre marii convertiţi, el însuşi fiind un convertit la maturitate, dă un răspuns de un firesc cuceritor: „(...) sunt nişte oameni foarte fericiţi, toţi. Convertirea este un acces la fericire. Omul care-L cunoaşte pe Hristos şi care-L iubeşte şi care se converteşte e un om fericit, e un om care intră într-o zonă a fericirii, iese din întuneric, din chin. Eu nu zic că intră într-o stare de fericire perfectă; că omul poate să se mai îmbolnăvească, să aibă necazuri, să cadă, să... mai ştiu eu ce, să piardă bani, mă rog, să aibă necazuri, dar pe un fond de fericire. Pe un fond de linişte. Nu mai cunoaşte deznădejdea neagră. Ei, asta ţine de botez. Botezul sincer nu este apă. Noi nu suntem botezaţi cu apă. Noi suntem botezaţi cu Duh şi cu foc. Sub aparenţa apei se află Duh şi foc. Aşa cum în Sfânta Împărtăşanie pâinea şi vinul pe care le luăm în gură sunt Trupul şi Sângele Domnului şi nu se văd, tot aşa şi apa Botezului este Duh şi foc. Şi este un izvor de multă fericire. Niciodată un convertit nu va mai cunoaşte pe deplin deznădejdea - poate să fie şi el amărât, să fie bolnav, să aibă o criză, să se certe, mă rog, diferite împrejurări ale vieţii. Dar nu mai atinge adâncurile. Adâncurile bazate pe fericire, pe linişte, pe dragoste. Întunericul şi frigul nu au acces liber asupra convertitului. Pentru că e căldura Duhului şi a focului care imediat te apără”</w:t>
      </w:r>
      <w:r w:rsidRPr="00B522CC">
        <w:rPr>
          <w:rStyle w:val="FootnoteReference"/>
          <w:rFonts w:cs="Times New Roman"/>
          <w:sz w:val="23"/>
          <w:szCs w:val="23"/>
          <w:lang w:val="ro-RO"/>
        </w:rPr>
        <w:footnoteReference w:id="16"/>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 xml:space="preserve">Dificultatea predării „obiective” a theognosiei aghiografilor şi a celorlalţi sfinţi prin intermediul cărora noi avem Revelaţia dumnezeiască cu cele două căi de transmitere: Sfânta Scriptură şi Sfânta Tradiţie, este evidentă. Cum să transmiţi </w:t>
      </w:r>
      <w:r w:rsidRPr="00B522CC">
        <w:rPr>
          <w:rFonts w:cs="Times New Roman"/>
          <w:i/>
          <w:sz w:val="23"/>
          <w:szCs w:val="23"/>
          <w:lang w:val="ro-RO"/>
        </w:rPr>
        <w:t>realitatea</w:t>
      </w:r>
      <w:r w:rsidRPr="00B522CC">
        <w:rPr>
          <w:rFonts w:cs="Times New Roman"/>
          <w:sz w:val="23"/>
          <w:szCs w:val="23"/>
          <w:lang w:val="ro-RO"/>
        </w:rPr>
        <w:t xml:space="preserve"> acestei întâlniri? Cunoaşterea autentică a lui Dumnezeu ţine de această întâlnire </w:t>
      </w:r>
      <w:r w:rsidRPr="00B522CC">
        <w:rPr>
          <w:rFonts w:cs="Times New Roman"/>
          <w:i/>
          <w:sz w:val="23"/>
          <w:szCs w:val="23"/>
          <w:lang w:val="ro-RO"/>
        </w:rPr>
        <w:t>reală.</w:t>
      </w:r>
      <w:r w:rsidRPr="00B522CC">
        <w:rPr>
          <w:rFonts w:cs="Times New Roman"/>
          <w:sz w:val="23"/>
          <w:szCs w:val="23"/>
          <w:lang w:val="ro-RO"/>
        </w:rPr>
        <w:t xml:space="preserve"> Putem transmite informaţii, dar nu </w:t>
      </w:r>
      <w:r w:rsidRPr="00B522CC">
        <w:rPr>
          <w:rFonts w:cs="Times New Roman"/>
          <w:i/>
          <w:sz w:val="23"/>
          <w:szCs w:val="23"/>
          <w:lang w:val="ro-RO"/>
        </w:rPr>
        <w:t>realitatea</w:t>
      </w:r>
      <w:r w:rsidRPr="00B522CC">
        <w:rPr>
          <w:rFonts w:cs="Times New Roman"/>
          <w:sz w:val="23"/>
          <w:szCs w:val="23"/>
          <w:lang w:val="ro-RO"/>
        </w:rPr>
        <w:t xml:space="preserve"> însăşi. Dumnezeu devine </w:t>
      </w:r>
      <w:r w:rsidRPr="00B522CC">
        <w:rPr>
          <w:rFonts w:cs="Times New Roman"/>
          <w:i/>
          <w:sz w:val="23"/>
          <w:szCs w:val="23"/>
          <w:lang w:val="ro-RO"/>
        </w:rPr>
        <w:t>real</w:t>
      </w:r>
      <w:r w:rsidRPr="00B522CC">
        <w:rPr>
          <w:rFonts w:cs="Times New Roman"/>
          <w:sz w:val="23"/>
          <w:szCs w:val="23"/>
          <w:lang w:val="ro-RO"/>
        </w:rPr>
        <w:t xml:space="preserve"> pentru noi cei </w:t>
      </w:r>
      <w:r w:rsidRPr="00B522CC">
        <w:rPr>
          <w:rFonts w:cs="Times New Roman"/>
          <w:i/>
          <w:sz w:val="23"/>
          <w:szCs w:val="23"/>
          <w:lang w:val="ro-RO"/>
        </w:rPr>
        <w:t>reali</w:t>
      </w:r>
      <w:r w:rsidRPr="00B522CC">
        <w:rPr>
          <w:rFonts w:cs="Times New Roman"/>
          <w:sz w:val="23"/>
          <w:szCs w:val="23"/>
          <w:lang w:val="ro-RO"/>
        </w:rPr>
        <w:t xml:space="preserve"> numai atunci când ne întâlnim cu El, altfel El rămâne un concept, chiar dacă unul sublim, iar noi ne înstrăinăm tot mai mult de El şi de noi înşine, pentru că ne-a creat pentru această întâlnire </w:t>
      </w:r>
      <w:r w:rsidRPr="00B522CC">
        <w:rPr>
          <w:rFonts w:cs="Times New Roman"/>
          <w:i/>
          <w:sz w:val="23"/>
          <w:szCs w:val="23"/>
          <w:lang w:val="ro-RO"/>
        </w:rPr>
        <w:t>reală.</w:t>
      </w:r>
      <w:r w:rsidRPr="00B522CC">
        <w:rPr>
          <w:rFonts w:cs="Times New Roman"/>
          <w:sz w:val="23"/>
          <w:szCs w:val="23"/>
          <w:lang w:val="ro-RO"/>
        </w:rPr>
        <w:t xml:space="preserve"> Acum am putea înţelege de ce părintele Rafail Noica, invitat la Congresul internaţional</w:t>
      </w:r>
      <w:r w:rsidRPr="00B522CC">
        <w:rPr>
          <w:rStyle w:val="FootnoteReference"/>
          <w:rFonts w:cs="Times New Roman"/>
          <w:sz w:val="23"/>
          <w:szCs w:val="23"/>
          <w:lang w:val="ro-RO"/>
        </w:rPr>
        <w:footnoteReference w:id="17"/>
      </w:r>
      <w:r w:rsidRPr="00B522CC">
        <w:rPr>
          <w:rStyle w:val="FootnoteCharacters"/>
          <w:rFonts w:cs="Times New Roman"/>
          <w:sz w:val="23"/>
          <w:szCs w:val="23"/>
          <w:lang w:val="ro-RO"/>
        </w:rPr>
        <w:t xml:space="preserve"> </w:t>
      </w:r>
      <w:r w:rsidRPr="00B522CC">
        <w:rPr>
          <w:rFonts w:cs="Times New Roman"/>
          <w:sz w:val="23"/>
          <w:szCs w:val="23"/>
          <w:lang w:val="ro-RO"/>
        </w:rPr>
        <w:t xml:space="preserve">dedicat Părintelui Dumitru Stăniloae pentru a vorbi în aula Patriarhiei </w:t>
      </w:r>
      <w:r w:rsidRPr="00B522CC">
        <w:rPr>
          <w:rFonts w:cs="Times New Roman"/>
          <w:i/>
          <w:sz w:val="23"/>
          <w:szCs w:val="23"/>
          <w:lang w:val="ro-RO"/>
        </w:rPr>
        <w:t>Despre teolog şi teologie</w:t>
      </w:r>
      <w:r w:rsidRPr="00B522CC">
        <w:rPr>
          <w:rFonts w:cs="Times New Roman"/>
          <w:sz w:val="23"/>
          <w:szCs w:val="23"/>
          <w:lang w:val="ro-RO"/>
        </w:rPr>
        <w:t xml:space="preserve">, a ales să conferenţieze </w:t>
      </w:r>
      <w:r w:rsidRPr="00B522CC">
        <w:rPr>
          <w:rFonts w:cs="Times New Roman"/>
          <w:i/>
          <w:sz w:val="23"/>
          <w:szCs w:val="23"/>
          <w:lang w:val="ro-RO"/>
        </w:rPr>
        <w:t>Despre viaţa Sfintei Maria Egipteanca şi cea a Cuviosului Siluan Atonitul</w:t>
      </w:r>
      <w:r w:rsidRPr="00B522CC">
        <w:rPr>
          <w:rFonts w:cs="Times New Roman"/>
          <w:sz w:val="23"/>
          <w:szCs w:val="23"/>
          <w:lang w:val="ro-RO"/>
        </w:rPr>
        <w:t xml:space="preserve">. Părintele a descris modul minunat în care s-a schimbat radical şi pentru totdeauna viaţa lor, a accentuat teologia lor existenţială, cu alte cuvinte roadele unei întâlniri </w:t>
      </w:r>
      <w:r w:rsidRPr="00B522CC">
        <w:rPr>
          <w:rFonts w:cs="Times New Roman"/>
          <w:i/>
          <w:sz w:val="23"/>
          <w:szCs w:val="23"/>
          <w:lang w:val="ro-RO"/>
        </w:rPr>
        <w:t>reale</w:t>
      </w:r>
      <w:r w:rsidRPr="00B522CC">
        <w:rPr>
          <w:rFonts w:cs="Times New Roman"/>
          <w:sz w:val="23"/>
          <w:szCs w:val="23"/>
          <w:lang w:val="ro-RO"/>
        </w:rPr>
        <w:t xml:space="preserve"> cu Hristos Domnul. Dacă teologul nu experiează o astfel de întâlnire </w:t>
      </w:r>
      <w:r w:rsidRPr="00B522CC">
        <w:rPr>
          <w:rFonts w:cs="Times New Roman"/>
          <w:i/>
          <w:sz w:val="23"/>
          <w:szCs w:val="23"/>
          <w:lang w:val="ro-RO"/>
        </w:rPr>
        <w:t>reală,</w:t>
      </w:r>
      <w:r w:rsidRPr="00B522CC">
        <w:rPr>
          <w:rFonts w:cs="Times New Roman"/>
          <w:sz w:val="23"/>
          <w:szCs w:val="23"/>
          <w:lang w:val="ro-RO"/>
        </w:rPr>
        <w:t xml:space="preserve"> doar „gângăveşte” ceva despre om, lume şi Dumnezeu, nu teologhiseşte, spunea cunoscutul şi atât de apreciatul duhovnic contemporan, cunoaşterea lui Dumnezeu este întotdeauna după măsura credinţei omului.</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lastRenderedPageBreak/>
        <w:t xml:space="preserve">Probabil din această cauză, în primele secole ale Bisericii, nu a existat o </w:t>
      </w:r>
      <w:r w:rsidRPr="00B522CC">
        <w:rPr>
          <w:rFonts w:cs="Times New Roman"/>
          <w:i/>
          <w:sz w:val="23"/>
          <w:szCs w:val="23"/>
          <w:lang w:val="ro-RO"/>
        </w:rPr>
        <w:t>teologie</w:t>
      </w:r>
      <w:r w:rsidRPr="00B522CC">
        <w:rPr>
          <w:rFonts w:cs="Times New Roman"/>
          <w:sz w:val="23"/>
          <w:szCs w:val="23"/>
          <w:lang w:val="ro-RO"/>
        </w:rPr>
        <w:t xml:space="preserve"> ca disciplină metodică sau ca </w:t>
      </w:r>
      <w:r w:rsidRPr="00B522CC">
        <w:rPr>
          <w:rFonts w:cs="Times New Roman"/>
          <w:i/>
          <w:sz w:val="23"/>
          <w:szCs w:val="23"/>
          <w:lang w:val="ro-RO"/>
        </w:rPr>
        <w:t>scientia</w:t>
      </w:r>
      <w:r w:rsidRPr="00B522CC">
        <w:rPr>
          <w:rFonts w:cs="Times New Roman"/>
          <w:sz w:val="23"/>
          <w:szCs w:val="23"/>
          <w:lang w:val="ro-RO"/>
        </w:rPr>
        <w:t xml:space="preserve"> şi, prin urmare, teologii acestei perioade nu au urmat o metodă dată pentru a ajunge la cunoaşterea lui Dumnezeu</w:t>
      </w:r>
      <w:r w:rsidRPr="00B522CC">
        <w:rPr>
          <w:rStyle w:val="FootnoteReference"/>
          <w:rFonts w:cs="Times New Roman"/>
          <w:sz w:val="23"/>
          <w:szCs w:val="23"/>
          <w:lang w:val="ro-RO"/>
        </w:rPr>
        <w:footnoteReference w:id="18"/>
      </w:r>
      <w:r w:rsidRPr="00B522CC">
        <w:rPr>
          <w:rFonts w:cs="Times New Roman"/>
          <w:sz w:val="23"/>
          <w:szCs w:val="23"/>
          <w:lang w:val="ro-RO"/>
        </w:rPr>
        <w:t xml:space="preserve">. Chiar dacă iniţial s-a folosit termenul grecesc </w:t>
      </w:r>
      <w:r w:rsidRPr="00B522CC">
        <w:rPr>
          <w:rFonts w:cs="Times New Roman"/>
          <w:i/>
          <w:sz w:val="23"/>
          <w:szCs w:val="23"/>
          <w:lang w:val="ro-RO"/>
        </w:rPr>
        <w:t>gnosis</w:t>
      </w:r>
      <w:r w:rsidRPr="00B522CC">
        <w:rPr>
          <w:rStyle w:val="FootnoteReference"/>
          <w:rFonts w:cs="Times New Roman"/>
          <w:i/>
          <w:sz w:val="23"/>
          <w:szCs w:val="23"/>
          <w:lang w:val="ro-RO"/>
        </w:rPr>
        <w:footnoteReference w:id="19"/>
      </w:r>
      <w:r w:rsidRPr="00B522CC">
        <w:rPr>
          <w:rFonts w:cs="Times New Roman"/>
          <w:sz w:val="23"/>
          <w:szCs w:val="23"/>
          <w:lang w:val="ro-RO"/>
        </w:rPr>
        <w:t xml:space="preserve">, din cauza posibilelor asocieri cu gnosticismul, scriitorii creştini din timpul lui Origen au adoptat termenul </w:t>
      </w:r>
      <w:r w:rsidRPr="00B522CC">
        <w:rPr>
          <w:rFonts w:cs="Times New Roman"/>
          <w:i/>
          <w:sz w:val="23"/>
          <w:szCs w:val="23"/>
          <w:lang w:val="ro-RO"/>
        </w:rPr>
        <w:t>theologia</w:t>
      </w:r>
      <w:r w:rsidRPr="00B522CC">
        <w:rPr>
          <w:rFonts w:cs="Times New Roman"/>
          <w:sz w:val="23"/>
          <w:szCs w:val="23"/>
          <w:lang w:val="ro-RO"/>
        </w:rPr>
        <w:t>, nu în sensul modern, academic, ci având o conotaţie mistică, desemnând meditaţia şi contemplaţia în cadrul unei comunităţi ecclesiale.</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La Sfinţii Părinţi- scrie Paul Evdokimov- termenul „teologie” înseamnă contemplarea Tainei Sfintei Treimi (</w:t>
      </w:r>
      <w:r w:rsidRPr="00B522CC">
        <w:rPr>
          <w:rFonts w:cs="Times New Roman"/>
          <w:i/>
          <w:sz w:val="23"/>
          <w:szCs w:val="23"/>
          <w:lang w:val="ro-RO"/>
        </w:rPr>
        <w:t>theoria tes agias Triados</w:t>
      </w:r>
      <w:r w:rsidRPr="00B522CC">
        <w:rPr>
          <w:rFonts w:cs="Times New Roman"/>
          <w:sz w:val="23"/>
          <w:szCs w:val="23"/>
          <w:lang w:val="ro-RO"/>
        </w:rPr>
        <w:t xml:space="preserve">) şi este înainte de toate lumina dumnezeiască reflectată în oglinda sufletului curăţit: sufletul „primeşte în el discul soarelui” şi se adânceşte în sentimentul prezenţei, al venirii lui Dumnezeu. Teologia mistică este tocmai această cunoaştere prin </w:t>
      </w:r>
      <w:r w:rsidRPr="00B522CC">
        <w:rPr>
          <w:rFonts w:cs="Times New Roman"/>
          <w:i/>
          <w:sz w:val="23"/>
          <w:szCs w:val="23"/>
          <w:lang w:val="ro-RO"/>
        </w:rPr>
        <w:t>inhabitarea</w:t>
      </w:r>
      <w:r w:rsidRPr="00B522CC">
        <w:rPr>
          <w:rFonts w:cs="Times New Roman"/>
          <w:sz w:val="23"/>
          <w:szCs w:val="23"/>
          <w:lang w:val="ro-RO"/>
        </w:rPr>
        <w:t xml:space="preserve"> (locuirea în) Cuvântului. Este vorba deci, de la început, nu de a cunoaşte ceva despre Dumnezeu, ci „de a-L avea pe Dumnezeu în tine”. Aici categoria esenţială este </w:t>
      </w:r>
      <w:r w:rsidRPr="00B522CC">
        <w:rPr>
          <w:rFonts w:cs="Times New Roman"/>
          <w:i/>
          <w:sz w:val="23"/>
          <w:szCs w:val="23"/>
          <w:lang w:val="ro-RO"/>
        </w:rPr>
        <w:t>plinul</w:t>
      </w:r>
      <w:r w:rsidRPr="00B522CC">
        <w:rPr>
          <w:rFonts w:cs="Times New Roman"/>
          <w:sz w:val="23"/>
          <w:szCs w:val="23"/>
          <w:lang w:val="ro-RO"/>
        </w:rPr>
        <w:t xml:space="preserve"> sau </w:t>
      </w:r>
      <w:r w:rsidRPr="00B522CC">
        <w:rPr>
          <w:rFonts w:cs="Times New Roman"/>
          <w:i/>
          <w:sz w:val="23"/>
          <w:szCs w:val="23"/>
          <w:lang w:val="ro-RO"/>
        </w:rPr>
        <w:t>golul</w:t>
      </w:r>
      <w:r w:rsidRPr="00B522CC">
        <w:rPr>
          <w:rFonts w:cs="Times New Roman"/>
          <w:sz w:val="23"/>
          <w:szCs w:val="23"/>
          <w:lang w:val="ro-RO"/>
        </w:rPr>
        <w:t>, să fii golit de orice substanţă duhovnicească, sau să te umpli de prezenţa dumnezeiască, „</w:t>
      </w:r>
      <w:r w:rsidRPr="00B522CC">
        <w:rPr>
          <w:rFonts w:cs="Times New Roman"/>
          <w:i/>
          <w:sz w:val="23"/>
          <w:szCs w:val="23"/>
          <w:lang w:val="ro-RO"/>
        </w:rPr>
        <w:t xml:space="preserve">Ave gratia plena” </w:t>
      </w:r>
      <w:r w:rsidRPr="00B522CC">
        <w:rPr>
          <w:rFonts w:cs="Times New Roman"/>
          <w:sz w:val="23"/>
          <w:szCs w:val="23"/>
          <w:lang w:val="ro-RO"/>
        </w:rPr>
        <w:t>sau, în cazul Sfântului Ştefan, „să fii umplut de Duhul Sfânt”. Este o conştientizare progresivă a prezenţei Cuvântului Care iluminează</w:t>
      </w:r>
      <w:r w:rsidRPr="00B522CC">
        <w:rPr>
          <w:rStyle w:val="FootnoteReference"/>
          <w:rFonts w:cs="Times New Roman"/>
          <w:sz w:val="23"/>
          <w:szCs w:val="23"/>
          <w:lang w:val="ro-RO"/>
        </w:rPr>
        <w:footnoteReference w:id="20"/>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 xml:space="preserve">Într-o excelentă analiză asupra adevărului şi cunoaşterii, Nikos Matsoukas remarca distincţia „dintre </w:t>
      </w:r>
      <w:r w:rsidRPr="00B522CC">
        <w:rPr>
          <w:rFonts w:cs="Times New Roman"/>
          <w:i/>
          <w:sz w:val="23"/>
          <w:szCs w:val="23"/>
          <w:lang w:val="ro-RO"/>
        </w:rPr>
        <w:t>adevăr</w:t>
      </w:r>
      <w:r w:rsidRPr="00B522CC">
        <w:rPr>
          <w:rFonts w:cs="Times New Roman"/>
          <w:sz w:val="23"/>
          <w:szCs w:val="23"/>
          <w:lang w:val="ro-RO"/>
        </w:rPr>
        <w:t xml:space="preserve"> şi </w:t>
      </w:r>
      <w:r w:rsidRPr="00B522CC">
        <w:rPr>
          <w:rFonts w:cs="Times New Roman"/>
          <w:i/>
          <w:sz w:val="23"/>
          <w:szCs w:val="23"/>
          <w:lang w:val="ro-RO"/>
        </w:rPr>
        <w:t>cunoaştere</w:t>
      </w:r>
      <w:r w:rsidRPr="00B522CC">
        <w:rPr>
          <w:rFonts w:cs="Times New Roman"/>
          <w:sz w:val="23"/>
          <w:szCs w:val="23"/>
          <w:lang w:val="ro-RO"/>
        </w:rPr>
        <w:t xml:space="preserve">, dintre </w:t>
      </w:r>
      <w:r w:rsidRPr="00B522CC">
        <w:rPr>
          <w:rFonts w:cs="Times New Roman"/>
          <w:i/>
          <w:sz w:val="23"/>
          <w:szCs w:val="23"/>
          <w:lang w:val="ro-RO"/>
        </w:rPr>
        <w:t>a fi</w:t>
      </w:r>
      <w:r w:rsidRPr="00B522CC">
        <w:rPr>
          <w:rFonts w:cs="Times New Roman"/>
          <w:sz w:val="23"/>
          <w:szCs w:val="23"/>
          <w:lang w:val="ro-RO"/>
        </w:rPr>
        <w:t xml:space="preserve"> şi </w:t>
      </w:r>
      <w:r w:rsidRPr="00B522CC">
        <w:rPr>
          <w:rFonts w:cs="Times New Roman"/>
          <w:i/>
          <w:sz w:val="23"/>
          <w:szCs w:val="23"/>
          <w:lang w:val="ro-RO"/>
        </w:rPr>
        <w:t>a cunoaşte</w:t>
      </w:r>
      <w:r w:rsidRPr="00B522CC">
        <w:rPr>
          <w:rFonts w:cs="Times New Roman"/>
          <w:sz w:val="23"/>
          <w:szCs w:val="23"/>
          <w:lang w:val="ro-RO"/>
        </w:rPr>
        <w:t>. (...) În alteritatea dintre adevăr şi cunoaştere, precede întotdeauna adevărul, ca lucru (sensibil sau inteligibil), şi urmează cunoaşterea, ca participare totală sau parţială la acest lucru. Astfel, devine clară distincţia dintre obiectiv şi subiectiv, aşa după cum a consfinţit aceşti termeni filosofia apuseană modernă şi, concret, gnoseologia. Cu toate acestea, subiectul, de la sine înţeles, constituie totodată şi obiect [έπιστητό] al adevărului, la care poate să participe cognitiv, prin cercetare ştiinţifică, sau la nivel de relaţii interpersonale, un alt subiect. Prin urmare, adevăr este lucrul şi cunoaştere este participarea la acesta. Adevărul este obiect, iar cunoaşterea, ca participare, rezultă în urma relaţiei dintre obiectul de cunoscut şi subiectul care cunoaşte acest obiect (sau participă şi se încadrează acestuia)”</w:t>
      </w:r>
      <w:r w:rsidRPr="00B522CC">
        <w:rPr>
          <w:rStyle w:val="FootnoteReference"/>
          <w:rFonts w:cs="Times New Roman"/>
          <w:sz w:val="23"/>
          <w:szCs w:val="23"/>
          <w:lang w:val="ro-RO"/>
        </w:rPr>
        <w:footnoteReference w:id="21"/>
      </w:r>
      <w:r w:rsidRPr="00B522CC">
        <w:rPr>
          <w:rFonts w:cs="Times New Roman"/>
          <w:sz w:val="23"/>
          <w:szCs w:val="23"/>
          <w:lang w:val="ro-RO"/>
        </w:rPr>
        <w:t>. Abordând incitanta temă a cunoaşterii ştiinţifice moderne a lumii, profesorul N. Matsoukas atrage atenţia că „alta e realitatea şi alta imaginea pe care o avem şi o ştim despre realitate. (...) Teoreticienii insistă că lumea reală rămâne „nevăzută” şi „neînţeleasă”, fără ca aceasta să însemne că lumea cunoaşterii ştiinţifice nu este reală</w:t>
      </w:r>
      <w:r w:rsidRPr="00B522CC">
        <w:rPr>
          <w:rStyle w:val="FootnoteReference"/>
          <w:rFonts w:cs="Times New Roman"/>
          <w:sz w:val="23"/>
          <w:szCs w:val="23"/>
          <w:lang w:val="ro-RO"/>
        </w:rPr>
        <w:footnoteReference w:id="22"/>
      </w:r>
      <w:r w:rsidRPr="00B522CC">
        <w:rPr>
          <w:rFonts w:cs="Times New Roman"/>
          <w:sz w:val="23"/>
          <w:szCs w:val="23"/>
          <w:lang w:val="ro-RO"/>
        </w:rPr>
        <w:t xml:space="preserve">. Foarte importantă este şi analiza conceptelor </w:t>
      </w:r>
      <w:r w:rsidRPr="00B522CC">
        <w:rPr>
          <w:rFonts w:cs="Times New Roman"/>
          <w:i/>
          <w:sz w:val="23"/>
          <w:szCs w:val="23"/>
          <w:lang w:val="ro-RO"/>
        </w:rPr>
        <w:t>obiectiv</w:t>
      </w:r>
      <w:r w:rsidRPr="00B522CC">
        <w:rPr>
          <w:rFonts w:cs="Times New Roman"/>
          <w:sz w:val="23"/>
          <w:szCs w:val="23"/>
          <w:lang w:val="ro-RO"/>
        </w:rPr>
        <w:t xml:space="preserve"> şi </w:t>
      </w:r>
      <w:r w:rsidRPr="00B522CC">
        <w:rPr>
          <w:rFonts w:cs="Times New Roman"/>
          <w:i/>
          <w:sz w:val="23"/>
          <w:szCs w:val="23"/>
          <w:lang w:val="ro-RO"/>
        </w:rPr>
        <w:t xml:space="preserve">subiectiv. </w:t>
      </w:r>
      <w:r w:rsidRPr="00B522CC">
        <w:rPr>
          <w:rFonts w:cs="Times New Roman"/>
          <w:sz w:val="23"/>
          <w:szCs w:val="23"/>
          <w:lang w:val="ro-RO"/>
        </w:rPr>
        <w:t xml:space="preserve">„Ca </w:t>
      </w:r>
      <w:r w:rsidRPr="00B522CC">
        <w:rPr>
          <w:rFonts w:cs="Times New Roman"/>
          <w:i/>
          <w:sz w:val="23"/>
          <w:szCs w:val="23"/>
          <w:lang w:val="ro-RO"/>
        </w:rPr>
        <w:t>obiectiv</w:t>
      </w:r>
      <w:r w:rsidRPr="00B522CC">
        <w:rPr>
          <w:rFonts w:cs="Times New Roman"/>
          <w:sz w:val="23"/>
          <w:szCs w:val="23"/>
          <w:lang w:val="ro-RO"/>
        </w:rPr>
        <w:t xml:space="preserve"> ar trebui să se considere, în primul rând, însăşi realitatea accesibilă şi abordabilă, şi chiar cea inaccesibilă, care constituie necunoscuta X; cu alte cuvinte, însăşi realitatea, indiferent de gradul la care ar putea intelectul să o cucerească. Deci, obiectivitatea nu este doar concretul şi cunoscutul, ci orice obiect de cunoaştere care este abordabil. De aceea prin </w:t>
      </w:r>
      <w:r w:rsidRPr="00B522CC">
        <w:rPr>
          <w:rFonts w:cs="Times New Roman"/>
          <w:i/>
          <w:sz w:val="23"/>
          <w:szCs w:val="23"/>
          <w:lang w:val="ro-RO"/>
        </w:rPr>
        <w:t>obiectiv</w:t>
      </w:r>
      <w:r w:rsidRPr="00B522CC">
        <w:rPr>
          <w:rFonts w:cs="Times New Roman"/>
          <w:sz w:val="23"/>
          <w:szCs w:val="23"/>
          <w:lang w:val="ro-RO"/>
        </w:rPr>
        <w:t xml:space="preserve"> nu înţelegem întotdeauna constantul şi sigurul, ci însuşi obiectul </w:t>
      </w:r>
      <w:r w:rsidRPr="00B522CC">
        <w:rPr>
          <w:rFonts w:cs="Times New Roman"/>
          <w:sz w:val="23"/>
          <w:szCs w:val="23"/>
          <w:lang w:val="ro-RO"/>
        </w:rPr>
        <w:lastRenderedPageBreak/>
        <w:t xml:space="preserve">de cunoaştere, care se oferă spre cunoaştere şi încadrare în el. Astfel, am spune că subiectivitatea constituie întotdeauna un ochi care vede şi consideră realitatea, o face parte a sa - sau, altfel spus, se încadrează acestei realităţi şi o posedă. Prin subiectiv, deci, nu înţelegem neobiectivul, arbitrarul, neacoperitul sau alte improvizaţii făcute de naivi şi intelectuali, distinşi prin instruirea lor nefilosofică. În ultimă analiză, subiectivitatea este o categorie specială a realităţii; am spune că e instrumentul care înţelege realitatea ca participare şi cunoaştere. Acest instrument, împreună cu însăşi cunoaşterea, constituie subiectivitatea, existenţa globală a unei fiinţe gânditoare, senzorul general care cuprinde realitatea. (...) De aceea, când relaţia dintre </w:t>
      </w:r>
      <w:r w:rsidRPr="00B522CC">
        <w:rPr>
          <w:rFonts w:cs="Times New Roman"/>
          <w:i/>
          <w:sz w:val="23"/>
          <w:szCs w:val="23"/>
          <w:lang w:val="ro-RO"/>
        </w:rPr>
        <w:t>a fi</w:t>
      </w:r>
      <w:r w:rsidRPr="00B522CC">
        <w:rPr>
          <w:rFonts w:cs="Times New Roman"/>
          <w:sz w:val="23"/>
          <w:szCs w:val="23"/>
          <w:lang w:val="ro-RO"/>
        </w:rPr>
        <w:t xml:space="preserve"> şi </w:t>
      </w:r>
      <w:r w:rsidRPr="00B522CC">
        <w:rPr>
          <w:rFonts w:cs="Times New Roman"/>
          <w:i/>
          <w:sz w:val="23"/>
          <w:szCs w:val="23"/>
          <w:lang w:val="ro-RO"/>
        </w:rPr>
        <w:t>a cunoaşte</w:t>
      </w:r>
      <w:r w:rsidRPr="00B522CC">
        <w:rPr>
          <w:rFonts w:cs="Times New Roman"/>
          <w:sz w:val="23"/>
          <w:szCs w:val="23"/>
          <w:lang w:val="ro-RO"/>
        </w:rPr>
        <w:t xml:space="preserve">, </w:t>
      </w:r>
      <w:r w:rsidRPr="00B522CC">
        <w:rPr>
          <w:rFonts w:cs="Times New Roman"/>
          <w:i/>
          <w:sz w:val="23"/>
          <w:szCs w:val="23"/>
          <w:lang w:val="ro-RO"/>
        </w:rPr>
        <w:t>subiectiv</w:t>
      </w:r>
      <w:r w:rsidRPr="00B522CC">
        <w:rPr>
          <w:rFonts w:cs="Times New Roman"/>
          <w:sz w:val="23"/>
          <w:szCs w:val="23"/>
          <w:lang w:val="ro-RO"/>
        </w:rPr>
        <w:t xml:space="preserve"> şi </w:t>
      </w:r>
      <w:r w:rsidRPr="00B522CC">
        <w:rPr>
          <w:rFonts w:cs="Times New Roman"/>
          <w:i/>
          <w:sz w:val="23"/>
          <w:szCs w:val="23"/>
          <w:lang w:val="ro-RO"/>
        </w:rPr>
        <w:t>obiectiv</w:t>
      </w:r>
      <w:r w:rsidRPr="00B522CC">
        <w:rPr>
          <w:rFonts w:cs="Times New Roman"/>
          <w:sz w:val="23"/>
          <w:szCs w:val="23"/>
          <w:lang w:val="ro-RO"/>
        </w:rPr>
        <w:t>, se împleteşte fără rigidităţi vătămătoare,</w:t>
      </w:r>
      <w:r w:rsidRPr="00B522CC">
        <w:rPr>
          <w:rFonts w:cs="Times New Roman"/>
          <w:i/>
          <w:sz w:val="23"/>
          <w:szCs w:val="23"/>
          <w:lang w:val="ro-RO"/>
        </w:rPr>
        <w:t xml:space="preserve"> obiectivitatea</w:t>
      </w:r>
      <w:r w:rsidRPr="00B522CC">
        <w:rPr>
          <w:rFonts w:cs="Times New Roman"/>
          <w:sz w:val="23"/>
          <w:szCs w:val="23"/>
          <w:lang w:val="ro-RO"/>
        </w:rPr>
        <w:t xml:space="preserve"> şi </w:t>
      </w:r>
      <w:r w:rsidRPr="00B522CC">
        <w:rPr>
          <w:rFonts w:cs="Times New Roman"/>
          <w:i/>
          <w:sz w:val="23"/>
          <w:szCs w:val="23"/>
          <w:lang w:val="ro-RO"/>
        </w:rPr>
        <w:t>subiectivitatea</w:t>
      </w:r>
      <w:r w:rsidRPr="00B522CC">
        <w:rPr>
          <w:rFonts w:cs="Times New Roman"/>
          <w:sz w:val="23"/>
          <w:szCs w:val="23"/>
          <w:lang w:val="ro-RO"/>
        </w:rPr>
        <w:t xml:space="preserve"> par a fi acelaşi lucru”</w:t>
      </w:r>
      <w:r w:rsidRPr="00B522CC">
        <w:rPr>
          <w:rStyle w:val="FootnoteReference"/>
          <w:rFonts w:cs="Times New Roman"/>
          <w:sz w:val="23"/>
          <w:szCs w:val="23"/>
          <w:lang w:val="ro-RO"/>
        </w:rPr>
        <w:footnoteReference w:id="23"/>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Am redat acest citat mai amplu şi pentru a arăta că este netemeinică acuza adusă cunoşterii teologice de a nu fi „obiectivă”. A înţelege şi a aplica practic virtualităţile existente în lume, se datorează întotdeauna darului Creatorului</w:t>
      </w:r>
      <w:r w:rsidRPr="00B522CC">
        <w:rPr>
          <w:rStyle w:val="FootnoteReference"/>
          <w:rFonts w:cs="Times New Roman"/>
          <w:sz w:val="23"/>
          <w:szCs w:val="23"/>
          <w:lang w:val="ro-RO"/>
        </w:rPr>
        <w:footnoteReference w:id="24"/>
      </w:r>
      <w:r w:rsidRPr="00B522CC">
        <w:rPr>
          <w:rFonts w:cs="Times New Roman"/>
          <w:sz w:val="23"/>
          <w:szCs w:val="23"/>
          <w:lang w:val="ro-RO"/>
        </w:rPr>
        <w:t xml:space="preserve">. Savanţii pot explica şi demonstra veridicitatea teoriilor lor prin aplicabilitatea practică, dar nu toţi oamenii pot pricepe ceea ce ei înţeleg, pentru că nu au toţi darul cunoaşterii ştiinţifice, şi nici nu au depus un efort susţinut asemenea lor. În mod similar, nu toţi avem acces direct la </w:t>
      </w:r>
      <w:r w:rsidRPr="00B522CC">
        <w:rPr>
          <w:rFonts w:cs="Times New Roman"/>
          <w:i/>
          <w:sz w:val="23"/>
          <w:szCs w:val="23"/>
          <w:lang w:val="ro-RO"/>
        </w:rPr>
        <w:t>realitatea</w:t>
      </w:r>
      <w:r w:rsidRPr="00B522CC">
        <w:rPr>
          <w:rFonts w:cs="Times New Roman"/>
          <w:sz w:val="23"/>
          <w:szCs w:val="23"/>
          <w:lang w:val="ro-RO"/>
        </w:rPr>
        <w:t xml:space="preserve"> întâlnirii cu Dumnezeu, care este rezultatul darului lui Dumnezeu şi al efortului etic-ascetic constant. Dar cei care au acces, ne vorbesc existenţial despre experienţa lor şi autenticitatea mărturiei lor se vădeşte prin viaţa lor. „Sfinţii mărturisesc pe Dumnezeu ca </w:t>
      </w:r>
      <w:r w:rsidRPr="00B522CC">
        <w:rPr>
          <w:rFonts w:cs="Times New Roman"/>
          <w:i/>
          <w:sz w:val="23"/>
          <w:szCs w:val="23"/>
          <w:lang w:val="ro-RO"/>
        </w:rPr>
        <w:t>prezenţă</w:t>
      </w:r>
      <w:r w:rsidRPr="00B522CC">
        <w:rPr>
          <w:rFonts w:cs="Times New Roman"/>
          <w:sz w:val="23"/>
          <w:szCs w:val="23"/>
          <w:lang w:val="ro-RO"/>
        </w:rPr>
        <w:t xml:space="preserve"> - „lumină”, lumină distinctă de cea pe care o cunoaştem prin simţuri. Gustarea acestei prezenţe duce însă pe om la o experienţă ce iese întrucâtva din coordonatele fireşti de spaţiu-timp. Această experienţă o apără Sfântul Grigorie Palama ca adevărată profunzime a teologiei faţă de zisa-teologie înţeleasă ca simplă manipulare abstractă de noţiuni cu conţinut religios. </w:t>
      </w:r>
      <w:r w:rsidRPr="00B522CC">
        <w:rPr>
          <w:rFonts w:cs="Times New Roman"/>
          <w:i/>
          <w:sz w:val="23"/>
          <w:szCs w:val="23"/>
          <w:lang w:val="ro-RO"/>
        </w:rPr>
        <w:t>Teologia nu poate fi decât expresia experienţei întâlnirii cu Dumnezeu, deci mistică</w:t>
      </w:r>
      <w:r w:rsidRPr="00B522CC">
        <w:rPr>
          <w:rFonts w:cs="Times New Roman"/>
          <w:sz w:val="23"/>
          <w:szCs w:val="23"/>
          <w:lang w:val="ro-RO"/>
        </w:rPr>
        <w:t xml:space="preserve"> (s.n.)”</w:t>
      </w:r>
      <w:r w:rsidRPr="00B522CC">
        <w:rPr>
          <w:rStyle w:val="FootnoteReference"/>
          <w:rFonts w:cs="Times New Roman"/>
          <w:sz w:val="23"/>
          <w:szCs w:val="23"/>
          <w:lang w:val="ro-RO"/>
        </w:rPr>
        <w:footnoteReference w:id="25"/>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 xml:space="preserve">Sfântul Grigorie Palama a realizat o sinteză a tradiţiei mistice a Bisericii şi a arătat că „Dumnezeu poate fi cunoscut </w:t>
      </w:r>
      <w:r w:rsidRPr="00B522CC">
        <w:rPr>
          <w:rFonts w:cs="Times New Roman"/>
          <w:i/>
          <w:sz w:val="23"/>
          <w:szCs w:val="23"/>
          <w:lang w:val="ro-RO"/>
        </w:rPr>
        <w:t>real</w:t>
      </w:r>
      <w:r w:rsidRPr="00B522CC">
        <w:rPr>
          <w:rFonts w:cs="Times New Roman"/>
          <w:sz w:val="23"/>
          <w:szCs w:val="23"/>
          <w:lang w:val="ro-RO"/>
        </w:rPr>
        <w:t>, ca prezenţă personală, cunoaşterea lui Dumnezeu nefiind o descriere conceptuală, ci o</w:t>
      </w:r>
      <w:r w:rsidRPr="00B522CC">
        <w:rPr>
          <w:rFonts w:cs="Times New Roman"/>
          <w:i/>
          <w:sz w:val="23"/>
          <w:szCs w:val="23"/>
          <w:lang w:val="ro-RO"/>
        </w:rPr>
        <w:t xml:space="preserve"> unire efectivă cu El</w:t>
      </w:r>
      <w:r w:rsidRPr="00B522CC">
        <w:rPr>
          <w:rFonts w:cs="Times New Roman"/>
          <w:sz w:val="23"/>
          <w:szCs w:val="23"/>
          <w:lang w:val="ro-RO"/>
        </w:rPr>
        <w:t>”</w:t>
      </w:r>
      <w:r w:rsidRPr="00B522CC">
        <w:rPr>
          <w:rStyle w:val="FootnoteReference"/>
          <w:rFonts w:cs="Times New Roman"/>
          <w:sz w:val="23"/>
          <w:szCs w:val="23"/>
          <w:lang w:val="ro-RO"/>
        </w:rPr>
        <w:footnoteReference w:id="26"/>
      </w:r>
      <w:r w:rsidRPr="00B522CC">
        <w:rPr>
          <w:rFonts w:cs="Times New Roman"/>
          <w:sz w:val="23"/>
          <w:szCs w:val="23"/>
          <w:lang w:val="ro-RO"/>
        </w:rPr>
        <w:t xml:space="preserve">. Dificultatea transmiterii experienţei mistice a întâlnirii </w:t>
      </w:r>
      <w:r w:rsidRPr="00B522CC">
        <w:rPr>
          <w:rFonts w:cs="Times New Roman"/>
          <w:i/>
          <w:sz w:val="23"/>
          <w:szCs w:val="23"/>
          <w:lang w:val="ro-RO"/>
        </w:rPr>
        <w:t>reale</w:t>
      </w:r>
      <w:r w:rsidRPr="00B522CC">
        <w:rPr>
          <w:rFonts w:cs="Times New Roman"/>
          <w:sz w:val="23"/>
          <w:szCs w:val="23"/>
          <w:lang w:val="ro-RO"/>
        </w:rPr>
        <w:t xml:space="preserve"> cu Dumnezeu rămâne şi se accentuează mai mult când citim mărturisirea arhimandritului Sofronie, ucenic apropiat al Cuviosului Siluan Athonitul:</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„Sufletul nu îşi ia asupră-şi a vorbi despre Lumina care luminează pe omul ce însetează a vedea Faţa Celui Fără-de-început. Tainică este firea ei; şi în ce chipuri să o înfăţişăm? Dincolo de simţuri, nevăzută - ea uneori se face văzută, iată, chiar cu aceşti ochi trupeşti. Lină şi gingaşă - ea trage către sine şi inima, şi mintea, astfel încât uiţi pământul, răpindu-te în altă lume. Aceasta se întâmplă şi în plină zi şi în întunericul nopţii. Blândă, ea este însă mai puternică decât tot ceea ce ne înconjoară. Ea, curios, îmbrăţişează omul din afară; însă văzându-o, atenţia se adânceşte înlăuntrul omului, în inima încălzită de dragoste, dragoste uneori compătimitoare, alteori plină de mulţumită. Se întâmplă să nu mai simţi materialitatea: nici cea proprie, nici cea a realităţii ce te înconjoară, şi însuţi te vezi ca lumină. Fuge toată durerea, uitate rămân grijile pământului; îngrozirile sunt înghiţite de o dulce pace”</w:t>
      </w:r>
      <w:r w:rsidRPr="00B522CC">
        <w:rPr>
          <w:rStyle w:val="FootnoteReference"/>
          <w:rFonts w:cs="Times New Roman"/>
          <w:sz w:val="23"/>
          <w:szCs w:val="23"/>
          <w:lang w:val="ro-RO"/>
        </w:rPr>
        <w:footnoteReference w:id="27"/>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 xml:space="preserve">Dificultatea discursului despre Realitatea transcendentă şi imanentă, despre Dumnezeu şi relaţia Sa plină de iubire cu îngerii, cu oamenii şi cu lumea, a condus la </w:t>
      </w:r>
      <w:r w:rsidRPr="00B522CC">
        <w:rPr>
          <w:rFonts w:cs="Times New Roman"/>
          <w:i/>
          <w:sz w:val="23"/>
          <w:szCs w:val="23"/>
          <w:lang w:val="ro-RO"/>
        </w:rPr>
        <w:t>via negativa</w:t>
      </w:r>
      <w:r w:rsidRPr="00B522CC">
        <w:rPr>
          <w:rFonts w:cs="Times New Roman"/>
          <w:sz w:val="23"/>
          <w:szCs w:val="23"/>
          <w:lang w:val="ro-RO"/>
        </w:rPr>
        <w:t xml:space="preserve"> în teologie. S-a scris mult despre influenţa filosofiei greceşti asupra gândirii Sfinţilor Părinţi şi adesea s-a exagerat. De exemplu, platonismul nu vorbeşte niciodată despre contemplarea care duce la asemănarea cu ceea ce este contemplat. Această idee a apărut foarte târziu în elenism, mai precis în scrierile numite ermetice, influenţate de iudaism sau chiar de creştinism. Într-adevăr, Platon </w:t>
      </w:r>
      <w:r w:rsidRPr="00B522CC">
        <w:rPr>
          <w:rFonts w:cs="Times New Roman"/>
          <w:sz w:val="23"/>
          <w:szCs w:val="23"/>
          <w:lang w:val="ro-RO"/>
        </w:rPr>
        <w:lastRenderedPageBreak/>
        <w:t>dezvoltase conceptul potrivit căruia cele asemănătoare pot fi cunoscute de cele asemănătoare, deci pentru a-L cunoaşte pe Dumnezeu trebuie să ne străduim să devenim asemenea Lui. Cu alte cuvinte cunoaşterea şi asemănarea sunt strâns conectate; dar aici cunoaşterea provine din asemănare şi nu invers. În iudaism cunoaşterea duce la asemănare, ca o consecinţă a actului revelaţiei lui Dumnezeu, Cel care S-a făcut cunoscut prin Cuvântul Său, descoperindu-Şi Chipul pentru ca omul desfigurat de păcat să poată tinde spre asemănare. Prin urmare, cunoaşterea care duce la asemănare este o consecinţă a cunoaşterii noastre de către El, nefiind vorba despre o simplă afirmaţie sau despre o judecată rece, ci despre o alegere. De aceea, Dumnezeu nu S-a făcut doar cunoscut, ci S-a comunicat, S-a dăruit nouă prin revelarea Cuvântului Său. Pe baza acestor premise, trebuie să tindem spre ceea ce spune Sfântul Apostol Pavel: „</w:t>
      </w:r>
      <w:r w:rsidRPr="00B522CC">
        <w:rPr>
          <w:rFonts w:cs="Times New Roman"/>
          <w:i/>
          <w:sz w:val="23"/>
          <w:szCs w:val="23"/>
          <w:lang w:val="ro-RO"/>
        </w:rPr>
        <w:t>atunci voi cunoaşte deplin, aşa cum şi eu deplin sunt cunoscut</w:t>
      </w:r>
      <w:r w:rsidRPr="00B522CC">
        <w:rPr>
          <w:rFonts w:cs="Times New Roman"/>
          <w:sz w:val="23"/>
          <w:szCs w:val="23"/>
          <w:lang w:val="ro-RO"/>
        </w:rPr>
        <w:t>” (1 Cor. 13, 12).</w:t>
      </w:r>
    </w:p>
    <w:p w:rsidR="00EE6A7E" w:rsidRPr="00B522CC" w:rsidRDefault="00EE6A7E" w:rsidP="00EE6A7E">
      <w:pPr>
        <w:pStyle w:val="BodyText3"/>
        <w:spacing w:after="0"/>
        <w:ind w:firstLine="851"/>
        <w:jc w:val="both"/>
        <w:rPr>
          <w:sz w:val="23"/>
          <w:szCs w:val="23"/>
          <w:lang w:val="ro-RO"/>
        </w:rPr>
      </w:pPr>
      <w:r w:rsidRPr="00B522CC">
        <w:rPr>
          <w:sz w:val="23"/>
          <w:szCs w:val="23"/>
          <w:lang w:val="ro-RO"/>
        </w:rPr>
        <w:t>Îi atribuim cu uşurinţă, scrie Marie-Anne Vannier</w:t>
      </w:r>
      <w:r w:rsidRPr="00B522CC">
        <w:rPr>
          <w:rStyle w:val="FootnoteReference"/>
          <w:sz w:val="23"/>
          <w:szCs w:val="23"/>
          <w:lang w:val="ro-RO"/>
        </w:rPr>
        <w:footnoteReference w:id="28"/>
      </w:r>
      <w:r w:rsidRPr="00B522CC">
        <w:rPr>
          <w:sz w:val="23"/>
          <w:szCs w:val="23"/>
          <w:lang w:val="ro-RO"/>
        </w:rPr>
        <w:t>, Sfântului Dionisie Areopagitul iniţierea căii negative în gnoseologia teologică, probabil şi datorită influenţei pe care a avut-o opera sa atât în Răsărit cât şi în Apus</w:t>
      </w:r>
      <w:r w:rsidRPr="00B522CC">
        <w:rPr>
          <w:rStyle w:val="FootnoteReference"/>
          <w:sz w:val="23"/>
          <w:szCs w:val="23"/>
          <w:lang w:val="ro-RO"/>
        </w:rPr>
        <w:footnoteReference w:id="29"/>
      </w:r>
      <w:r w:rsidRPr="00B522CC">
        <w:rPr>
          <w:sz w:val="23"/>
          <w:szCs w:val="23"/>
          <w:lang w:val="ro-RO"/>
        </w:rPr>
        <w:t>. Apofatismul i-a precedat însă</w:t>
      </w:r>
      <w:r w:rsidRPr="00B522CC">
        <w:rPr>
          <w:rStyle w:val="FootnoteReference"/>
          <w:sz w:val="23"/>
          <w:szCs w:val="23"/>
          <w:lang w:val="ro-RO"/>
        </w:rPr>
        <w:footnoteReference w:id="30"/>
      </w:r>
      <w:r w:rsidRPr="00B522CC">
        <w:rPr>
          <w:sz w:val="23"/>
          <w:szCs w:val="23"/>
          <w:lang w:val="ro-RO"/>
        </w:rPr>
        <w:t>, putându-se întâlni în mistica iudaică</w:t>
      </w:r>
      <w:r w:rsidRPr="00B522CC">
        <w:rPr>
          <w:rStyle w:val="FootnoteReference"/>
          <w:sz w:val="23"/>
          <w:szCs w:val="23"/>
          <w:lang w:val="ro-RO"/>
        </w:rPr>
        <w:footnoteReference w:id="31"/>
      </w:r>
      <w:r w:rsidRPr="00B522CC">
        <w:rPr>
          <w:sz w:val="23"/>
          <w:szCs w:val="23"/>
          <w:lang w:val="ro-RO"/>
        </w:rPr>
        <w:t>, dar şi la Clement Alexandrinul, la Capadocieni, la Sfântul Ioan Gură de Aur, la Augustin, ca şi la Platon şi Porfirie, Proclus şi Damascius. Chiar dacă ar fi fost o influenţă a lui Platon asupra Părinţilor</w:t>
      </w:r>
      <w:r w:rsidRPr="00B522CC">
        <w:rPr>
          <w:rStyle w:val="FootnoteReference"/>
          <w:sz w:val="23"/>
          <w:szCs w:val="23"/>
          <w:lang w:val="ro-RO"/>
        </w:rPr>
        <w:footnoteReference w:id="32"/>
      </w:r>
      <w:r w:rsidRPr="00B522CC">
        <w:rPr>
          <w:sz w:val="23"/>
          <w:szCs w:val="23"/>
          <w:lang w:val="ro-RO"/>
        </w:rPr>
        <w:t xml:space="preserve"> şi asupra Kabbalei</w:t>
      </w:r>
      <w:r w:rsidRPr="00B522CC">
        <w:rPr>
          <w:rStyle w:val="FootnoteReference"/>
          <w:sz w:val="23"/>
          <w:szCs w:val="23"/>
          <w:lang w:val="ro-RO"/>
        </w:rPr>
        <w:footnoteReference w:id="33"/>
      </w:r>
      <w:r w:rsidRPr="00B522CC">
        <w:rPr>
          <w:sz w:val="23"/>
          <w:szCs w:val="23"/>
          <w:lang w:val="ro-RO"/>
        </w:rPr>
        <w:t>, dar această influenţă nu suprimă o altă sursă a căii negative: Sfânta Scriptură. Aceste două surse se regăsesc la Filon al Alexandriei</w:t>
      </w:r>
      <w:r w:rsidRPr="00B522CC">
        <w:rPr>
          <w:rStyle w:val="FootnoteReference"/>
          <w:sz w:val="23"/>
          <w:szCs w:val="23"/>
          <w:lang w:val="ro-RO"/>
        </w:rPr>
        <w:footnoteReference w:id="34"/>
      </w:r>
      <w:r w:rsidRPr="00B522CC">
        <w:rPr>
          <w:sz w:val="23"/>
          <w:szCs w:val="23"/>
          <w:lang w:val="ro-RO"/>
        </w:rPr>
        <w:t xml:space="preserve"> care realizează într-o oarecare măsură relaţia între iudaismul alexandrin şi gândirea patristică, şi care a introdus noţiunea de incomprehensibilitate divină, care va fi reluată de Sfântul Ioan Hrisostom</w:t>
      </w:r>
      <w:r w:rsidRPr="00B522CC">
        <w:rPr>
          <w:rStyle w:val="FootnoteReference"/>
          <w:sz w:val="23"/>
          <w:szCs w:val="23"/>
          <w:lang w:val="ro-RO"/>
        </w:rPr>
        <w:footnoteReference w:id="35"/>
      </w:r>
      <w:r w:rsidRPr="00B522CC">
        <w:rPr>
          <w:sz w:val="23"/>
          <w:szCs w:val="23"/>
          <w:lang w:val="ro-RO"/>
        </w:rPr>
        <w:t xml:space="preserve"> şi de alţi Părinţi</w:t>
      </w:r>
      <w:r w:rsidRPr="00B522CC">
        <w:rPr>
          <w:rStyle w:val="FootnoteReference"/>
          <w:sz w:val="23"/>
          <w:szCs w:val="23"/>
          <w:lang w:val="ro-RO"/>
        </w:rPr>
        <w:footnoteReference w:id="36"/>
      </w:r>
      <w:r w:rsidRPr="00B522CC">
        <w:rPr>
          <w:sz w:val="23"/>
          <w:szCs w:val="23"/>
          <w:lang w:val="ro-RO"/>
        </w:rPr>
        <w:t>.</w:t>
      </w:r>
    </w:p>
    <w:p w:rsidR="00EE6A7E" w:rsidRPr="00B522CC" w:rsidRDefault="00EE6A7E" w:rsidP="00EE6A7E">
      <w:pPr>
        <w:pStyle w:val="BodyText3"/>
        <w:spacing w:after="0"/>
        <w:ind w:firstLine="851"/>
        <w:jc w:val="both"/>
        <w:rPr>
          <w:sz w:val="23"/>
          <w:szCs w:val="23"/>
          <w:lang w:val="ro-RO"/>
        </w:rPr>
      </w:pPr>
      <w:r w:rsidRPr="00B522CC">
        <w:rPr>
          <w:sz w:val="23"/>
          <w:szCs w:val="23"/>
          <w:lang w:val="ro-RO"/>
        </w:rPr>
        <w:t>Daniel Bulzan precizează faptul că Sfântul Dionisie a dezvoltat „calea negaţiei pozitive”</w:t>
      </w:r>
      <w:r w:rsidRPr="00B522CC">
        <w:rPr>
          <w:rStyle w:val="FootnoteReference"/>
          <w:sz w:val="23"/>
          <w:szCs w:val="23"/>
          <w:lang w:val="ro-RO"/>
        </w:rPr>
        <w:footnoteReference w:id="37"/>
      </w:r>
      <w:r w:rsidRPr="00B522CC">
        <w:rPr>
          <w:sz w:val="23"/>
          <w:szCs w:val="23"/>
          <w:lang w:val="ro-RO"/>
        </w:rPr>
        <w:t xml:space="preserve">. Prin aplicarea acestei metode el stabileşte existenţa fiecărui nume (cum ar fi mare, bun) prin derivare de la forma respectivă (măreţie, bunătate) şi apoi continuă şi arată că Dumnezeu depăşeşte toate aceste concepte într-un fel potrivit acestora. De exemplu, Dumnezeu </w:t>
      </w:r>
      <w:r w:rsidRPr="00B522CC">
        <w:rPr>
          <w:i/>
          <w:sz w:val="23"/>
          <w:szCs w:val="23"/>
          <w:lang w:val="ro-RO"/>
        </w:rPr>
        <w:t>nu</w:t>
      </w:r>
      <w:r w:rsidRPr="00B522CC">
        <w:rPr>
          <w:sz w:val="23"/>
          <w:szCs w:val="23"/>
          <w:lang w:val="ro-RO"/>
        </w:rPr>
        <w:t xml:space="preserve"> este mare, în sensul că în transcendenţa Sa, El este mai mare decât măreţia însăşi. Negaţia devine astfel </w:t>
      </w:r>
      <w:r w:rsidRPr="00B522CC">
        <w:rPr>
          <w:i/>
          <w:sz w:val="23"/>
          <w:szCs w:val="23"/>
          <w:lang w:val="ro-RO"/>
        </w:rPr>
        <w:t>hyper-negaţie</w:t>
      </w:r>
      <w:r w:rsidRPr="00B522CC">
        <w:rPr>
          <w:sz w:val="23"/>
          <w:szCs w:val="23"/>
          <w:lang w:val="ro-RO"/>
        </w:rPr>
        <w:t xml:space="preserve">. Consecinţa este că atitudinea Sfântului Dionisie Areopagitul faţă de limbaj este, de fapt, foarte pozitivă, în pofida foarte cunoscutei sale teologii </w:t>
      </w:r>
      <w:r w:rsidRPr="00B522CC">
        <w:rPr>
          <w:i/>
          <w:sz w:val="23"/>
          <w:szCs w:val="23"/>
          <w:lang w:val="ro-RO"/>
        </w:rPr>
        <w:t>negative.</w:t>
      </w:r>
      <w:r w:rsidRPr="00B522CC">
        <w:rPr>
          <w:sz w:val="23"/>
          <w:szCs w:val="23"/>
          <w:lang w:val="ro-RO"/>
        </w:rPr>
        <w:t xml:space="preserve"> Negaţia este </w:t>
      </w:r>
      <w:r w:rsidRPr="00B522CC">
        <w:rPr>
          <w:sz w:val="23"/>
          <w:szCs w:val="23"/>
          <w:lang w:val="ro-RO"/>
        </w:rPr>
        <w:lastRenderedPageBreak/>
        <w:t>folosită doar pentru ca mai târziu să facă apel la o afirmare pozitivă a transcendenţei</w:t>
      </w:r>
      <w:r w:rsidRPr="00B522CC">
        <w:rPr>
          <w:rStyle w:val="FootnoteReference"/>
          <w:sz w:val="23"/>
          <w:szCs w:val="23"/>
          <w:lang w:val="ro-RO"/>
        </w:rPr>
        <w:footnoteReference w:id="38"/>
      </w:r>
      <w:r w:rsidRPr="00B522CC">
        <w:rPr>
          <w:sz w:val="23"/>
          <w:szCs w:val="23"/>
          <w:lang w:val="ro-RO"/>
        </w:rPr>
        <w:t xml:space="preserve">. Citează apoi cunoscutul capitol al V-lea din </w:t>
      </w:r>
      <w:r w:rsidRPr="00B522CC">
        <w:rPr>
          <w:i/>
          <w:sz w:val="23"/>
          <w:szCs w:val="23"/>
          <w:lang w:val="ro-RO"/>
        </w:rPr>
        <w:t>Teologia mistică</w:t>
      </w:r>
      <w:r w:rsidRPr="00B522CC">
        <w:rPr>
          <w:sz w:val="23"/>
          <w:szCs w:val="23"/>
          <w:lang w:val="ro-RO"/>
        </w:rPr>
        <w:t xml:space="preserve"> şi accentuează că se poate ajunge la cunoaşterea lui Dumnezeu prin necunoaştere:</w:t>
      </w:r>
    </w:p>
    <w:p w:rsidR="00EE6A7E" w:rsidRPr="00B522CC" w:rsidRDefault="00EE6A7E" w:rsidP="00EE6A7E">
      <w:pPr>
        <w:pStyle w:val="BodyText2"/>
        <w:spacing w:after="0" w:line="240" w:lineRule="auto"/>
        <w:ind w:firstLine="851"/>
        <w:jc w:val="both"/>
        <w:rPr>
          <w:sz w:val="23"/>
          <w:szCs w:val="23"/>
          <w:lang w:val="ro-RO"/>
        </w:rPr>
      </w:pPr>
      <w:r w:rsidRPr="00B522CC">
        <w:rPr>
          <w:sz w:val="23"/>
          <w:szCs w:val="23"/>
          <w:lang w:val="ro-RO"/>
        </w:rPr>
        <w:t>„Iarăşi urcând, spunem că dumnezeirea nu e nici suflet, nici minte şi nu are nici închipuire, nici opinie, nici raţiune, nici înţeles. Şi nu e nici raţiune, nici înţeles. Nici nu se spune, nici nu se înţelege. Nu e nici ochi, nici ordine, nici mărime, nici micime, nici egalitate, nici inegalitate, nici asemănare, nici neasemănare, nici nu stă, nici nu se mişcă, nu are nici linişte. Nu e nici putere, nici lumină. Nici nu vieţuieşte, nici nu e viaţă. Nu e nici fiinţă, nici veac, nici timp, nici nu există atingere spirituală a ei. Nu e nici ştiinţă, nici adevăr, nici împărăţie, nici înţelepciune. Nu e nici unul, nici unitate, nici dumnezeire, nici bunătate, nici Duh, cum îl cunoaştem noi. Nici fiime, nici părinţime, nici altceva din ale noastre sau ale altcuiva dintre existenţele cunoscute. Nu e nici ceva din cele ce nu sunt, nici ceva din cele ce sunt, nici nu o cunosc pe ea existenţele, ca existenţă. Nu este nici cuvânt pentru ea, nici nume, nici cunoştinţă. Nu e nici întuneric, nici lumină, nici rătăcire, nici adevăr. Nici nu este o afirmare a ei, nicio negare. Ci făcând afirmaţiile şi negaţiile celor de după ele, nici nu o afirmăm, nici nu o negăm pe ea. Fiindcă este mai presus de toată afirmarea, ca cea care e cauza unică a tuturor; şi mai presus de toată negaţia, ca cea care le depăşeşte pe toate, care e simplu dezlegată de toate şi dincolo (</w:t>
      </w:r>
      <w:r w:rsidRPr="00B522CC">
        <w:rPr>
          <w:i/>
          <w:sz w:val="23"/>
          <w:szCs w:val="23"/>
          <w:lang w:val="ro-RO"/>
        </w:rPr>
        <w:t>hyper</w:t>
      </w:r>
      <w:r w:rsidRPr="00B522CC">
        <w:rPr>
          <w:sz w:val="23"/>
          <w:szCs w:val="23"/>
          <w:lang w:val="ro-RO"/>
        </w:rPr>
        <w:t>) de toate”</w:t>
      </w:r>
      <w:r w:rsidRPr="00B522CC">
        <w:rPr>
          <w:rStyle w:val="FootnoteReference"/>
          <w:sz w:val="23"/>
          <w:szCs w:val="23"/>
          <w:lang w:val="ro-RO"/>
        </w:rPr>
        <w:footnoteReference w:id="39"/>
      </w:r>
      <w:r w:rsidRPr="00B522CC">
        <w:rPr>
          <w:sz w:val="23"/>
          <w:szCs w:val="23"/>
          <w:lang w:val="ro-RO"/>
        </w:rPr>
        <w:t>.</w:t>
      </w:r>
    </w:p>
    <w:p w:rsidR="00EE6A7E" w:rsidRPr="00B522CC" w:rsidRDefault="00EE6A7E" w:rsidP="00EE6A7E">
      <w:pPr>
        <w:pStyle w:val="BodyText2"/>
        <w:spacing w:after="0" w:line="240" w:lineRule="auto"/>
        <w:ind w:firstLine="851"/>
        <w:jc w:val="both"/>
        <w:rPr>
          <w:sz w:val="23"/>
          <w:szCs w:val="23"/>
          <w:lang w:val="ro-RO"/>
        </w:rPr>
      </w:pPr>
      <w:r w:rsidRPr="00B522CC">
        <w:rPr>
          <w:sz w:val="23"/>
          <w:szCs w:val="23"/>
          <w:lang w:val="ro-RO"/>
        </w:rPr>
        <w:t xml:space="preserve">Importantă este şi analizarea a trei concepte areopagitice aflate într-o interconectare dinamică specială şi care sunt de o mare relevanţă: </w:t>
      </w:r>
      <w:r w:rsidRPr="00B522CC">
        <w:rPr>
          <w:i/>
          <w:sz w:val="23"/>
          <w:szCs w:val="23"/>
          <w:lang w:val="ro-RO"/>
        </w:rPr>
        <w:t>thesis</w:t>
      </w:r>
      <w:r w:rsidRPr="00B522CC">
        <w:rPr>
          <w:sz w:val="23"/>
          <w:szCs w:val="23"/>
          <w:lang w:val="ro-RO"/>
        </w:rPr>
        <w:t xml:space="preserve">, care înseamnă postulat; </w:t>
      </w:r>
      <w:r w:rsidRPr="00B522CC">
        <w:rPr>
          <w:i/>
          <w:sz w:val="23"/>
          <w:szCs w:val="23"/>
          <w:lang w:val="ro-RO"/>
        </w:rPr>
        <w:t>aphairesis</w:t>
      </w:r>
      <w:r w:rsidRPr="00B522CC">
        <w:rPr>
          <w:sz w:val="23"/>
          <w:szCs w:val="23"/>
          <w:lang w:val="ro-RO"/>
        </w:rPr>
        <w:t xml:space="preserve">, abstracţie, îndepărtare şi </w:t>
      </w:r>
      <w:r w:rsidRPr="00B522CC">
        <w:rPr>
          <w:i/>
          <w:sz w:val="23"/>
          <w:szCs w:val="23"/>
          <w:lang w:val="ro-RO"/>
        </w:rPr>
        <w:t>steresis</w:t>
      </w:r>
      <w:r w:rsidRPr="00B522CC">
        <w:rPr>
          <w:sz w:val="23"/>
          <w:szCs w:val="23"/>
          <w:lang w:val="ro-RO"/>
        </w:rPr>
        <w:t xml:space="preserve">, negaţie, lipsă, absenţă. </w:t>
      </w:r>
      <w:r w:rsidRPr="00B522CC">
        <w:rPr>
          <w:i/>
          <w:sz w:val="23"/>
          <w:szCs w:val="23"/>
          <w:lang w:val="ro-RO"/>
        </w:rPr>
        <w:t>Thesis</w:t>
      </w:r>
      <w:r w:rsidRPr="00B522CC">
        <w:rPr>
          <w:sz w:val="23"/>
          <w:szCs w:val="23"/>
          <w:lang w:val="ro-RO"/>
        </w:rPr>
        <w:t xml:space="preserve"> şi </w:t>
      </w:r>
      <w:r w:rsidRPr="00B522CC">
        <w:rPr>
          <w:i/>
          <w:sz w:val="23"/>
          <w:szCs w:val="23"/>
          <w:lang w:val="ro-RO"/>
        </w:rPr>
        <w:t>apheresis</w:t>
      </w:r>
      <w:r w:rsidRPr="00B522CC">
        <w:rPr>
          <w:sz w:val="23"/>
          <w:szCs w:val="23"/>
          <w:lang w:val="ro-RO"/>
        </w:rPr>
        <w:t xml:space="preserve"> par a opera în opoziţie. </w:t>
      </w:r>
      <w:r w:rsidRPr="00B522CC">
        <w:rPr>
          <w:i/>
          <w:sz w:val="23"/>
          <w:szCs w:val="23"/>
          <w:lang w:val="ro-RO"/>
        </w:rPr>
        <w:t>Thesis</w:t>
      </w:r>
      <w:r w:rsidRPr="00B522CC">
        <w:rPr>
          <w:sz w:val="23"/>
          <w:szCs w:val="23"/>
          <w:lang w:val="ro-RO"/>
        </w:rPr>
        <w:t xml:space="preserve"> înseamnă postulat, sau emiterea unei idei, în timp ce </w:t>
      </w:r>
      <w:r w:rsidRPr="00B522CC">
        <w:rPr>
          <w:i/>
          <w:sz w:val="23"/>
          <w:szCs w:val="23"/>
          <w:lang w:val="ro-RO"/>
        </w:rPr>
        <w:t>aphairesis</w:t>
      </w:r>
      <w:r w:rsidRPr="00B522CC">
        <w:rPr>
          <w:sz w:val="23"/>
          <w:szCs w:val="23"/>
          <w:lang w:val="ro-RO"/>
        </w:rPr>
        <w:t xml:space="preserve"> înseamnă îndepărtarea ideii respective. Sfântul Dionisie le foloseşte în mod similar perechii formate de </w:t>
      </w:r>
      <w:r w:rsidRPr="00B522CC">
        <w:rPr>
          <w:i/>
          <w:sz w:val="23"/>
          <w:szCs w:val="23"/>
          <w:lang w:val="ro-RO"/>
        </w:rPr>
        <w:t>catafatism</w:t>
      </w:r>
      <w:r w:rsidRPr="00B522CC">
        <w:rPr>
          <w:sz w:val="23"/>
          <w:szCs w:val="23"/>
          <w:lang w:val="ro-RO"/>
        </w:rPr>
        <w:t xml:space="preserve"> şi </w:t>
      </w:r>
      <w:r w:rsidRPr="00B522CC">
        <w:rPr>
          <w:i/>
          <w:sz w:val="23"/>
          <w:szCs w:val="23"/>
          <w:lang w:val="ro-RO"/>
        </w:rPr>
        <w:t>apofatism</w:t>
      </w:r>
      <w:r w:rsidRPr="00B522CC">
        <w:rPr>
          <w:sz w:val="23"/>
          <w:szCs w:val="23"/>
          <w:lang w:val="ro-RO"/>
        </w:rPr>
        <w:t xml:space="preserve">. Dumnezeu, Cel Care este Cauza tuturor, este dincolo de postulare şi de idei abstracte, aşa cum este dincolo de afirmaţie şi negaţie. Dumnezeu este şi dincolo de </w:t>
      </w:r>
      <w:r w:rsidRPr="00B522CC">
        <w:rPr>
          <w:i/>
          <w:sz w:val="23"/>
          <w:szCs w:val="23"/>
          <w:lang w:val="ro-RO"/>
        </w:rPr>
        <w:t>steresis</w:t>
      </w:r>
      <w:r w:rsidRPr="00B522CC">
        <w:rPr>
          <w:sz w:val="23"/>
          <w:szCs w:val="23"/>
          <w:lang w:val="ro-RO"/>
        </w:rPr>
        <w:t>, aşa cum este dincolo de postulare şi de idei abstracte.</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Martin Laird consideră necesară introducerea unei noi expresii pentru a exprima legătura dintre gând şi cuvânt. Κατάφασις se fundamentează pe cunoaşterea lui Dumnezeu după ενέργειαι Sale, iar λογόφασις ar fi rodul unirii apofatice dintre gând şi rostire, o unire care în mod paradoxal se exprimă în discurs şi fapte</w:t>
      </w:r>
      <w:r w:rsidRPr="00B522CC">
        <w:rPr>
          <w:rStyle w:val="FootnoteReference"/>
          <w:rFonts w:cs="Times New Roman"/>
          <w:sz w:val="23"/>
          <w:szCs w:val="23"/>
          <w:lang w:val="ro-RO"/>
        </w:rPr>
        <w:footnoteReference w:id="40"/>
      </w:r>
      <w:r w:rsidRPr="00B522CC">
        <w:rPr>
          <w:rFonts w:cs="Times New Roman"/>
          <w:sz w:val="23"/>
          <w:szCs w:val="23"/>
          <w:lang w:val="ro-RO"/>
        </w:rPr>
        <w:t>, „cu alte cuvinte, κατάφασις reprezintă terminologia prin care este căutat Dumnezeu, iar λογόφασις, dimpotrivă, reprezintă terminologia plină de Dumnezeu”</w:t>
      </w:r>
      <w:r w:rsidRPr="00B522CC">
        <w:rPr>
          <w:rStyle w:val="FootnoteReference"/>
          <w:rFonts w:cs="Times New Roman"/>
          <w:sz w:val="23"/>
          <w:szCs w:val="23"/>
          <w:lang w:val="ro-RO"/>
        </w:rPr>
        <w:footnoteReference w:id="41"/>
      </w:r>
      <w:r w:rsidRPr="00B522CC">
        <w:rPr>
          <w:rFonts w:cs="Times New Roman"/>
          <w:sz w:val="23"/>
          <w:szCs w:val="23"/>
          <w:lang w:val="ro-RO"/>
        </w:rPr>
        <w:t xml:space="preserve">. Mai precis, deoarece se tratează despre </w:t>
      </w:r>
      <w:r w:rsidRPr="00B522CC">
        <w:rPr>
          <w:rFonts w:cs="Times New Roman"/>
          <w:i/>
          <w:sz w:val="23"/>
          <w:szCs w:val="23"/>
          <w:lang w:val="ro-RO"/>
        </w:rPr>
        <w:t>Cântarea cântărilor</w:t>
      </w:r>
      <w:r w:rsidRPr="00B522CC">
        <w:rPr>
          <w:rFonts w:cs="Times New Roman"/>
          <w:sz w:val="23"/>
          <w:szCs w:val="23"/>
          <w:lang w:val="ro-RO"/>
        </w:rPr>
        <w:t>, „în timp ce mireasa în ascensiune se caracterizează prin α̉πόφασις, mireasa, atunci când a urcat deja, se caracterizează prin λογόφασις: manifestarea Cuvântului prin faptele şi vorbirea sa”</w:t>
      </w:r>
      <w:r w:rsidRPr="00B522CC">
        <w:rPr>
          <w:rStyle w:val="FootnoteReference"/>
          <w:rFonts w:cs="Times New Roman"/>
          <w:sz w:val="23"/>
          <w:szCs w:val="23"/>
          <w:lang w:val="ro-RO"/>
        </w:rPr>
        <w:footnoteReference w:id="42"/>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 xml:space="preserve">Cu privire la vocabularul folosit: teologie negativă, cale negativă, apofază sau </w:t>
      </w:r>
      <w:r w:rsidRPr="00B522CC">
        <w:rPr>
          <w:rFonts w:cs="Times New Roman"/>
          <w:i/>
          <w:sz w:val="23"/>
          <w:szCs w:val="23"/>
          <w:lang w:val="ro-RO"/>
        </w:rPr>
        <w:t>aphairesis</w:t>
      </w:r>
      <w:r w:rsidRPr="00B522CC">
        <w:rPr>
          <w:rFonts w:cs="Times New Roman"/>
          <w:sz w:val="23"/>
          <w:szCs w:val="23"/>
          <w:lang w:val="ro-RO"/>
        </w:rPr>
        <w:t>, Pierre Hadot</w:t>
      </w:r>
      <w:r w:rsidRPr="00B522CC">
        <w:rPr>
          <w:rStyle w:val="FootnoteReference"/>
          <w:rFonts w:cs="Times New Roman"/>
          <w:sz w:val="23"/>
          <w:szCs w:val="23"/>
          <w:lang w:val="ro-RO"/>
        </w:rPr>
        <w:footnoteReference w:id="43"/>
      </w:r>
      <w:r w:rsidRPr="00B522CC">
        <w:rPr>
          <w:rFonts w:cs="Times New Roman"/>
          <w:sz w:val="23"/>
          <w:szCs w:val="23"/>
          <w:lang w:val="ro-RO"/>
        </w:rPr>
        <w:t xml:space="preserve"> afirmă că ar trebui să vorbim despre apofatism (din grecescul </w:t>
      </w:r>
      <w:r w:rsidRPr="00B522CC">
        <w:rPr>
          <w:rFonts w:cs="Times New Roman"/>
          <w:i/>
          <w:sz w:val="23"/>
          <w:szCs w:val="23"/>
          <w:lang w:val="ro-RO"/>
        </w:rPr>
        <w:t>apophasis,</w:t>
      </w:r>
      <w:r w:rsidRPr="00B522CC">
        <w:rPr>
          <w:rFonts w:cs="Times New Roman"/>
          <w:sz w:val="23"/>
          <w:szCs w:val="23"/>
          <w:lang w:val="ro-RO"/>
        </w:rPr>
        <w:t xml:space="preserve"> negaţie) sau de metodă aphairetică (din grecescul </w:t>
      </w:r>
      <w:r w:rsidRPr="00B522CC">
        <w:rPr>
          <w:rFonts w:cs="Times New Roman"/>
          <w:i/>
          <w:sz w:val="23"/>
          <w:szCs w:val="23"/>
          <w:lang w:val="ro-RO"/>
        </w:rPr>
        <w:t>aphairesis</w:t>
      </w:r>
      <w:r w:rsidRPr="00B522CC">
        <w:rPr>
          <w:rFonts w:cs="Times New Roman"/>
          <w:sz w:val="23"/>
          <w:szCs w:val="23"/>
          <w:lang w:val="ro-RO"/>
        </w:rPr>
        <w:t xml:space="preserve">, abstracţie), mai degrabă decât de teologie negativă prin care I se neagă lui Dumnezeu orice atribut, dar se neagă însăşi divinitatea din moment ce rămâne o determinare conceptuală. Termenul apofatism, care s-a substituit celui de </w:t>
      </w:r>
      <w:r w:rsidRPr="00B522CC">
        <w:rPr>
          <w:rFonts w:cs="Times New Roman"/>
          <w:i/>
          <w:sz w:val="23"/>
          <w:szCs w:val="23"/>
          <w:lang w:val="ro-RO"/>
        </w:rPr>
        <w:t>aphairesis</w:t>
      </w:r>
      <w:r w:rsidRPr="00B522CC">
        <w:rPr>
          <w:rFonts w:cs="Times New Roman"/>
          <w:sz w:val="23"/>
          <w:szCs w:val="23"/>
          <w:lang w:val="ro-RO"/>
        </w:rPr>
        <w:t xml:space="preserve"> în secolul al IV-lea</w:t>
      </w:r>
      <w:r w:rsidRPr="00B522CC">
        <w:rPr>
          <w:rStyle w:val="FootnoteReference"/>
          <w:rFonts w:cs="Times New Roman"/>
          <w:sz w:val="23"/>
          <w:szCs w:val="23"/>
          <w:lang w:val="ro-RO"/>
        </w:rPr>
        <w:footnoteReference w:id="44"/>
      </w:r>
      <w:r w:rsidRPr="00B522CC">
        <w:rPr>
          <w:rFonts w:cs="Times New Roman"/>
          <w:sz w:val="23"/>
          <w:szCs w:val="23"/>
          <w:lang w:val="ro-RO"/>
        </w:rPr>
        <w:t>, convine, de asemenea, dar pare a fi enigmatic şi se opreşte la negaţie</w:t>
      </w:r>
      <w:r w:rsidRPr="00B522CC">
        <w:rPr>
          <w:rStyle w:val="FootnoteReference"/>
          <w:rFonts w:cs="Times New Roman"/>
          <w:sz w:val="23"/>
          <w:szCs w:val="23"/>
          <w:lang w:val="ro-RO"/>
        </w:rPr>
        <w:footnoteReference w:id="45"/>
      </w:r>
      <w:r w:rsidRPr="00B522CC">
        <w:rPr>
          <w:rFonts w:cs="Times New Roman"/>
          <w:sz w:val="23"/>
          <w:szCs w:val="23"/>
          <w:lang w:val="ro-RO"/>
        </w:rPr>
        <w:t>, în timp ce calea negativă presupune, cel mai adesea, negaţia ca un moment care cere să fie depăşit, ceea ce implică o dimensiune dialectică</w:t>
      </w:r>
      <w:r w:rsidRPr="00B522CC">
        <w:rPr>
          <w:rStyle w:val="FootnoteReference"/>
          <w:rFonts w:cs="Times New Roman"/>
          <w:sz w:val="23"/>
          <w:szCs w:val="23"/>
          <w:lang w:val="ro-RO"/>
        </w:rPr>
        <w:footnoteReference w:id="46"/>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lastRenderedPageBreak/>
        <w:t xml:space="preserve">În abordarea căii negative, se porneşte de obicei de la Platon, mai precis de la dialogul </w:t>
      </w:r>
      <w:r w:rsidRPr="00B522CC">
        <w:rPr>
          <w:rFonts w:cs="Times New Roman"/>
          <w:i/>
          <w:sz w:val="23"/>
          <w:szCs w:val="23"/>
          <w:lang w:val="ro-RO"/>
        </w:rPr>
        <w:t>Parmenide</w:t>
      </w:r>
      <w:r w:rsidRPr="00B522CC">
        <w:rPr>
          <w:rFonts w:cs="Times New Roman"/>
          <w:b/>
          <w:sz w:val="23"/>
          <w:szCs w:val="23"/>
          <w:lang w:val="ro-RO"/>
        </w:rPr>
        <w:t xml:space="preserve">. </w:t>
      </w:r>
      <w:r w:rsidRPr="00B522CC">
        <w:rPr>
          <w:rFonts w:cs="Times New Roman"/>
          <w:sz w:val="23"/>
          <w:szCs w:val="23"/>
          <w:lang w:val="ro-RO"/>
        </w:rPr>
        <w:t>În prima ipoteză găsim prima expresie elaborată a căii negative. Unul nu participă în nici un fel la fiinţă; nu este în nici un fel; nu are nici un nume; nu este nici întreg, nu are nici părţi; nu este nici drept, nici rotund; nu este nici în sine însuşi, nici în altul; nu este nici stătător, nici mişcător; nu este nici identic, nici diferit cu sine sau cu altul decât sine; nici asemenea, nici neasemenea; nici egal, nici inegal; nici mai mare, nici mai mic decât el însuşi ori decât altul; nu fiinţează nici în timp, nici în spaţiu; şi este total inaccesibil pentru numire, pentru cunoaştere, simţire şi părere</w:t>
      </w:r>
      <w:r w:rsidRPr="00B522CC">
        <w:rPr>
          <w:rStyle w:val="FootnoteReference"/>
          <w:rFonts w:cs="Times New Roman"/>
          <w:sz w:val="23"/>
          <w:szCs w:val="23"/>
          <w:lang w:val="ro-RO"/>
        </w:rPr>
        <w:footnoteReference w:id="47"/>
      </w:r>
      <w:r w:rsidRPr="00B522CC">
        <w:rPr>
          <w:rFonts w:cs="Times New Roman"/>
          <w:sz w:val="23"/>
          <w:szCs w:val="23"/>
          <w:lang w:val="ro-RO"/>
        </w:rPr>
        <w:t>. Cu alte cuvinte Unul este incognoscibil şi inefabil</w:t>
      </w:r>
      <w:r w:rsidRPr="00B522CC">
        <w:rPr>
          <w:rStyle w:val="FootnoteReference"/>
          <w:rFonts w:cs="Times New Roman"/>
          <w:sz w:val="23"/>
          <w:szCs w:val="23"/>
          <w:lang w:val="ro-RO"/>
        </w:rPr>
        <w:footnoteReference w:id="48"/>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Plotin se întreba ce este Unul şi ce natură are şi răspundea că Unul nu este ceva, deoarece este mai înainte de toate; nu este nicio fiinţă, întrucât fiinţa are o formă, dar El nu are nicio formă, nici cel puţin inteligibilă</w:t>
      </w:r>
      <w:r w:rsidRPr="00B522CC">
        <w:rPr>
          <w:rStyle w:val="FootnoteReference"/>
          <w:rFonts w:cs="Times New Roman"/>
          <w:sz w:val="23"/>
          <w:szCs w:val="23"/>
          <w:lang w:val="ro-RO"/>
        </w:rPr>
        <w:footnoteReference w:id="49"/>
      </w:r>
      <w:r w:rsidRPr="00B522CC">
        <w:rPr>
          <w:rFonts w:cs="Times New Roman"/>
          <w:sz w:val="23"/>
          <w:szCs w:val="23"/>
          <w:lang w:val="ro-RO"/>
        </w:rPr>
        <w:t>.</w:t>
      </w:r>
      <w:r w:rsidRPr="00B522CC">
        <w:rPr>
          <w:rFonts w:cs="Times New Roman"/>
          <w:b/>
          <w:sz w:val="23"/>
          <w:szCs w:val="23"/>
          <w:lang w:val="ro-RO"/>
        </w:rPr>
        <w:t xml:space="preserve"> </w:t>
      </w:r>
      <w:r w:rsidRPr="00B522CC">
        <w:rPr>
          <w:rFonts w:cs="Times New Roman"/>
          <w:sz w:val="23"/>
          <w:szCs w:val="23"/>
          <w:lang w:val="ro-RO"/>
        </w:rPr>
        <w:t>Noi spunem ce nu este, nu ceea ce este</w:t>
      </w:r>
      <w:r w:rsidRPr="00B522CC">
        <w:rPr>
          <w:rStyle w:val="FootnoteReference"/>
          <w:rFonts w:cs="Times New Roman"/>
          <w:sz w:val="23"/>
          <w:szCs w:val="23"/>
          <w:lang w:val="ro-RO"/>
        </w:rPr>
        <w:footnoteReference w:id="50"/>
      </w:r>
      <w:r w:rsidRPr="00B522CC">
        <w:rPr>
          <w:rFonts w:cs="Times New Roman"/>
          <w:sz w:val="23"/>
          <w:szCs w:val="23"/>
          <w:lang w:val="ro-RO"/>
        </w:rPr>
        <w:t>. Plotin subliniază în acest fel paradoxul care consistă în a putea dezvolta un discurs despre Unul, fără a-L cunoaşte. Inovaţia plotiniană rezidă în faptul că teologia nu poate fi decât negativă, negaţia nefiind un scop în sine, ci contribuie anagogic la fuziunea cu Unul</w:t>
      </w:r>
      <w:r w:rsidRPr="00B522CC">
        <w:rPr>
          <w:rStyle w:val="FootnoteReference"/>
          <w:rFonts w:cs="Times New Roman"/>
          <w:sz w:val="23"/>
          <w:szCs w:val="23"/>
          <w:lang w:val="ro-RO"/>
        </w:rPr>
        <w:footnoteReference w:id="51"/>
      </w:r>
      <w:r w:rsidRPr="00B522CC">
        <w:rPr>
          <w:rFonts w:cs="Times New Roman"/>
          <w:sz w:val="23"/>
          <w:szCs w:val="23"/>
          <w:lang w:val="ro-RO"/>
        </w:rPr>
        <w:t>. Porphyr sublinia superioritatea teologiei negative, dar, spre deosebire de Plotin, o şi depăşeşte printr-o teologie afirmativă, iar prin Marius Victorinus, această teză îl va influenţa pe Fericitul Augustin. Proclus făcea distincţie între negaţia teologică şi cea mistică, între intelect şi lucrarea specială divină care duce la cunoaştere. Proclus nu rămâne la negaţie, ci reintroduce calea afirmativă, atât în domeniul cunoaşterii, cât şi în chiar interiorul negaţiei care devine expresia misticii</w:t>
      </w:r>
      <w:r w:rsidRPr="00B522CC">
        <w:rPr>
          <w:rStyle w:val="FootnoteReference"/>
          <w:rFonts w:cs="Times New Roman"/>
          <w:sz w:val="23"/>
          <w:szCs w:val="23"/>
          <w:lang w:val="ro-RO"/>
        </w:rPr>
        <w:footnoteReference w:id="52"/>
      </w:r>
      <w:r w:rsidRPr="00B522CC">
        <w:rPr>
          <w:rFonts w:cs="Times New Roman"/>
          <w:sz w:val="23"/>
          <w:szCs w:val="23"/>
          <w:lang w:val="ro-RO"/>
        </w:rPr>
        <w:t>. Dacă Plotin spunea că nu putem gândi principiul, dar că putem vorbi despre el, Damascius considera că nici nu putem vorbi despre el, putem doar spune că nu putem vorbi despre el, negaţia devine astfel completă</w:t>
      </w:r>
      <w:r w:rsidRPr="00B522CC">
        <w:rPr>
          <w:rStyle w:val="FootnoteReference"/>
          <w:rFonts w:cs="Times New Roman"/>
          <w:sz w:val="23"/>
          <w:szCs w:val="23"/>
          <w:lang w:val="ro-RO"/>
        </w:rPr>
        <w:footnoteReference w:id="53"/>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 xml:space="preserve">Se poate afirma că </w:t>
      </w:r>
      <w:r w:rsidRPr="00B522CC">
        <w:rPr>
          <w:rFonts w:cs="Times New Roman"/>
          <w:i/>
          <w:sz w:val="23"/>
          <w:szCs w:val="23"/>
          <w:lang w:val="ro-RO"/>
        </w:rPr>
        <w:t>via negativa</w:t>
      </w:r>
      <w:r w:rsidRPr="00B522CC">
        <w:rPr>
          <w:rFonts w:cs="Times New Roman"/>
          <w:sz w:val="23"/>
          <w:szCs w:val="23"/>
          <w:lang w:val="ro-RO"/>
        </w:rPr>
        <w:t xml:space="preserve"> nu este decât un moment, atât la Platon, cât şi la succesorii lui. Este o tehnică de abstractizare proprie platonismului grec, o metodă inspirată de eforturile matematicienilor pentru a sesiza noţiunile abstracte</w:t>
      </w:r>
      <w:r w:rsidRPr="00B522CC">
        <w:rPr>
          <w:rStyle w:val="FootnoteReference"/>
          <w:rFonts w:cs="Times New Roman"/>
          <w:sz w:val="23"/>
          <w:szCs w:val="23"/>
          <w:lang w:val="ro-RO"/>
        </w:rPr>
        <w:footnoteReference w:id="54"/>
      </w:r>
      <w:r w:rsidRPr="00B522CC">
        <w:rPr>
          <w:rFonts w:cs="Times New Roman"/>
          <w:sz w:val="23"/>
          <w:szCs w:val="23"/>
          <w:lang w:val="ro-RO"/>
        </w:rPr>
        <w:t>. Calea negativă descoperă limitele raţiunii şi recunoaşte transcendenţa, dar nu are sensul din Sfânta Scriptură.</w:t>
      </w:r>
    </w:p>
    <w:p w:rsidR="00EE6A7E" w:rsidRPr="00B522CC" w:rsidRDefault="00EE6A7E" w:rsidP="00EE6A7E">
      <w:pPr>
        <w:ind w:firstLine="851"/>
        <w:jc w:val="both"/>
        <w:rPr>
          <w:rStyle w:val="FootnoteCharacters"/>
          <w:rFonts w:cs="Times New Roman"/>
          <w:sz w:val="23"/>
          <w:szCs w:val="23"/>
          <w:lang w:val="ro-RO"/>
        </w:rPr>
      </w:pPr>
      <w:r w:rsidRPr="00B522CC">
        <w:rPr>
          <w:rFonts w:cs="Times New Roman"/>
          <w:sz w:val="23"/>
          <w:szCs w:val="23"/>
          <w:lang w:val="ro-RO"/>
        </w:rPr>
        <w:t>Cu siguranţă, calea negativă nu este cheia de a înţelege Sfânta Scriptură, fiind contrariul afirmării lui Dumnezeu în calitate de Creator şi Mântuitor, dar apare în scrierile sfinte pentru a exprima transcendenţa lui Dumnezeu</w:t>
      </w:r>
      <w:r w:rsidRPr="00B522CC">
        <w:rPr>
          <w:rStyle w:val="FootnoteReference"/>
          <w:rFonts w:cs="Times New Roman"/>
          <w:sz w:val="23"/>
          <w:szCs w:val="23"/>
          <w:lang w:val="ro-RO"/>
        </w:rPr>
        <w:footnoteReference w:id="55"/>
      </w:r>
      <w:r w:rsidRPr="00B522CC">
        <w:rPr>
          <w:rFonts w:cs="Times New Roman"/>
          <w:sz w:val="23"/>
          <w:szCs w:val="23"/>
          <w:lang w:val="ro-RO"/>
        </w:rPr>
        <w:t>, de exemplu în Exod 3, 14 (cf. Is. 42, 8; 43,</w:t>
      </w:r>
      <w:r>
        <w:rPr>
          <w:rFonts w:cs="Times New Roman"/>
          <w:sz w:val="23"/>
          <w:szCs w:val="23"/>
          <w:lang w:val="ro-RO"/>
        </w:rPr>
        <w:t xml:space="preserve"> </w:t>
      </w:r>
      <w:r w:rsidRPr="00B522CC">
        <w:rPr>
          <w:rFonts w:cs="Times New Roman"/>
          <w:sz w:val="23"/>
          <w:szCs w:val="23"/>
          <w:lang w:val="ro-RO"/>
        </w:rPr>
        <w:t>10-13 sq.), diferenţa faţă de creaturi (Iov) şi pentru a evoca chenoza lui Dumnezeu în moartea lui Hristos, „nebunia” Crucii (1 Cor. 1, 22). Sensul teologiei negative se schimbă radical în spaţiul biblic. Nu se mai aplică la un principiu abstract, ci chiar la Dumnezeu, Cel care este dificil de cunoscut şi este atât de important să fie diferenţiat de idoli.</w:t>
      </w:r>
    </w:p>
    <w:p w:rsidR="00EE6A7E" w:rsidRPr="00B522CC" w:rsidRDefault="00EE6A7E" w:rsidP="00EE6A7E">
      <w:pPr>
        <w:ind w:firstLine="851"/>
        <w:jc w:val="both"/>
        <w:rPr>
          <w:rFonts w:cs="Times New Roman"/>
          <w:b/>
          <w:sz w:val="23"/>
          <w:szCs w:val="23"/>
          <w:lang w:val="ro-RO"/>
        </w:rPr>
      </w:pPr>
      <w:r w:rsidRPr="00B522CC">
        <w:rPr>
          <w:rFonts w:cs="Times New Roman"/>
          <w:sz w:val="23"/>
          <w:szCs w:val="23"/>
          <w:lang w:val="ro-RO"/>
        </w:rPr>
        <w:t>Filon din Alexandria este primul care a realizat apropierea dintre Sfânta Scriptură şi platonism. S-a inspirat din Parmenide</w:t>
      </w:r>
      <w:r w:rsidRPr="00B522CC">
        <w:rPr>
          <w:rFonts w:cs="Times New Roman"/>
          <w:b/>
          <w:sz w:val="23"/>
          <w:szCs w:val="23"/>
          <w:lang w:val="ro-RO"/>
        </w:rPr>
        <w:t xml:space="preserve"> </w:t>
      </w:r>
      <w:r w:rsidRPr="00B522CC">
        <w:rPr>
          <w:rFonts w:cs="Times New Roman"/>
          <w:sz w:val="23"/>
          <w:szCs w:val="23"/>
          <w:lang w:val="ro-RO"/>
        </w:rPr>
        <w:t xml:space="preserve">şi din cartea a IV-a din </w:t>
      </w:r>
      <w:r w:rsidRPr="00B522CC">
        <w:rPr>
          <w:rFonts w:cs="Times New Roman"/>
          <w:i/>
          <w:sz w:val="23"/>
          <w:szCs w:val="23"/>
          <w:lang w:val="ro-RO"/>
        </w:rPr>
        <w:t>Republica</w:t>
      </w:r>
      <w:r w:rsidRPr="00B522CC">
        <w:rPr>
          <w:rFonts w:cs="Times New Roman"/>
          <w:b/>
          <w:sz w:val="23"/>
          <w:szCs w:val="23"/>
          <w:lang w:val="ro-RO"/>
        </w:rPr>
        <w:t>,</w:t>
      </w:r>
      <w:r w:rsidRPr="00B522CC">
        <w:rPr>
          <w:rFonts w:cs="Times New Roman"/>
          <w:sz w:val="23"/>
          <w:szCs w:val="23"/>
          <w:lang w:val="ro-RO"/>
        </w:rPr>
        <w:t xml:space="preserve"> unde găseşte conceptul de transcendenţă, iar apoi comentând texte scripturistice, introduce conceptul de incomprehensibilitate pentru a reliefa caracterul unic şi transcendent al lui Dumnezeu. El spune că omul nu ar avea nici un instrument pentru a-i permite să şi-L reprezinte, totuşi Moise a avut un grad de percepţie</w:t>
      </w:r>
      <w:r w:rsidRPr="00B522CC">
        <w:rPr>
          <w:rStyle w:val="FootnoteReference"/>
          <w:rFonts w:cs="Times New Roman"/>
          <w:sz w:val="23"/>
          <w:szCs w:val="23"/>
          <w:lang w:val="ro-RO"/>
        </w:rPr>
        <w:footnoteReference w:id="56"/>
      </w:r>
      <w:r w:rsidRPr="00B522CC">
        <w:rPr>
          <w:rFonts w:cs="Times New Roman"/>
          <w:sz w:val="23"/>
          <w:szCs w:val="23"/>
          <w:lang w:val="ro-RO"/>
        </w:rPr>
        <w:t>, prin urmare incomprehensibilitatea nu are ultimul cuvânt, iubirea oferind o anumită formă de cunoaştere</w:t>
      </w:r>
      <w:r w:rsidRPr="00B522CC">
        <w:rPr>
          <w:rFonts w:cs="Times New Roman"/>
          <w:b/>
          <w:sz w:val="23"/>
          <w:szCs w:val="23"/>
          <w:lang w:val="ro-RO"/>
        </w:rPr>
        <w:t>.</w:t>
      </w:r>
    </w:p>
    <w:p w:rsidR="00EE6A7E" w:rsidRPr="00B522CC" w:rsidRDefault="00EE6A7E" w:rsidP="00EE6A7E">
      <w:pPr>
        <w:ind w:firstLine="851"/>
        <w:jc w:val="both"/>
        <w:rPr>
          <w:rFonts w:cs="Times New Roman"/>
          <w:b/>
          <w:sz w:val="23"/>
          <w:szCs w:val="23"/>
          <w:lang w:val="ro-RO"/>
        </w:rPr>
      </w:pPr>
      <w:r w:rsidRPr="00B522CC">
        <w:rPr>
          <w:rFonts w:cs="Times New Roman"/>
          <w:i/>
          <w:sz w:val="23"/>
          <w:szCs w:val="23"/>
          <w:lang w:val="ro-RO"/>
        </w:rPr>
        <w:t>Tora</w:t>
      </w:r>
      <w:r w:rsidRPr="00B522CC">
        <w:rPr>
          <w:rFonts w:cs="Times New Roman"/>
          <w:sz w:val="23"/>
          <w:szCs w:val="23"/>
          <w:lang w:val="ro-RO"/>
        </w:rPr>
        <w:t xml:space="preserve"> învaţă transcendenţa lui Dumnezeu, dar Philon pune accentul pe inabilitatea raţiunii omeneşti şi a simţurilor de a ajunge la o cunoaştere a lui Dumnezeu, care să treacă dincolo de </w:t>
      </w:r>
      <w:r w:rsidRPr="00B522CC">
        <w:rPr>
          <w:rFonts w:cs="Times New Roman"/>
          <w:sz w:val="23"/>
          <w:szCs w:val="23"/>
          <w:lang w:val="ro-RO"/>
        </w:rPr>
        <w:lastRenderedPageBreak/>
        <w:t>simpla credinţă în existenţa Sa pe baza cercetării operei Sale</w:t>
      </w:r>
      <w:r w:rsidRPr="00B522CC">
        <w:rPr>
          <w:rStyle w:val="FootnoteReference"/>
          <w:rFonts w:cs="Times New Roman"/>
          <w:sz w:val="23"/>
          <w:szCs w:val="23"/>
          <w:lang w:val="ro-RO"/>
        </w:rPr>
        <w:footnoteReference w:id="57"/>
      </w:r>
      <w:r w:rsidRPr="00B522CC">
        <w:rPr>
          <w:rFonts w:cs="Times New Roman"/>
          <w:sz w:val="23"/>
          <w:szCs w:val="23"/>
          <w:lang w:val="ro-RO"/>
        </w:rPr>
        <w:t>. Faptul că Dumnezeu există poate fi dedus din creaţie, dar pentru că Dumnezeu este invizibil, incomprehensibil (</w:t>
      </w:r>
      <w:r w:rsidRPr="00B522CC">
        <w:rPr>
          <w:rFonts w:cs="Times New Roman"/>
          <w:i/>
          <w:sz w:val="23"/>
          <w:szCs w:val="23"/>
          <w:lang w:val="ro-RO"/>
        </w:rPr>
        <w:t>akataleptos</w:t>
      </w:r>
      <w:r w:rsidRPr="00B522CC">
        <w:rPr>
          <w:rFonts w:cs="Times New Roman"/>
          <w:sz w:val="23"/>
          <w:szCs w:val="23"/>
          <w:lang w:val="ro-RO"/>
        </w:rPr>
        <w:t>) şi absolut, Filon consideră că fiinţa lui Dumnezeu este atât de departe de a fi cunoscută, încât trebuie să rămână şi de nenumit. Atunci când Dumnezeu I Se descoperă lui Moise ca „</w:t>
      </w:r>
      <w:r w:rsidRPr="00B522CC">
        <w:rPr>
          <w:rFonts w:cs="Times New Roman"/>
          <w:i/>
          <w:sz w:val="23"/>
          <w:szCs w:val="23"/>
          <w:lang w:val="ro-RO"/>
        </w:rPr>
        <w:t>Cel ce este</w:t>
      </w:r>
      <w:r w:rsidRPr="00B522CC">
        <w:rPr>
          <w:rFonts w:cs="Times New Roman"/>
          <w:sz w:val="23"/>
          <w:szCs w:val="23"/>
          <w:lang w:val="ro-RO"/>
        </w:rPr>
        <w:t>” (Exod 3, 14), Filon consideră că a spus „Natura Mea este aceea de a fi, nu de a se vorbi despre ea”</w:t>
      </w:r>
      <w:r w:rsidRPr="00B522CC">
        <w:rPr>
          <w:rStyle w:val="FootnoteReference"/>
          <w:rFonts w:cs="Times New Roman"/>
          <w:sz w:val="23"/>
          <w:szCs w:val="23"/>
          <w:lang w:val="ro-RO"/>
        </w:rPr>
        <w:footnoteReference w:id="58"/>
      </w:r>
      <w:r w:rsidRPr="00B522CC">
        <w:rPr>
          <w:rFonts w:cs="Times New Roman"/>
          <w:sz w:val="23"/>
          <w:szCs w:val="23"/>
          <w:lang w:val="ro-RO"/>
        </w:rPr>
        <w:t>. Dumnezeu transcende toate categoriile, de aceea cel mai bine poate fi descris din perspectiva a ceea ce nu este. Transcendenţa lui Dumnezeu creează o prăpastie epistemologică de netrecut pentru mintea omenească. Philon afirmă categoric că omul nu poate să pătrundă în cele dumnezeieşti, deoarece pentru a-L înţelege pe Dumnezeu, trebuie ca cineva să devină Dumnezeu, fapt absolut imposibil</w:t>
      </w:r>
      <w:r w:rsidRPr="00B522CC">
        <w:rPr>
          <w:rStyle w:val="FootnoteReference"/>
          <w:rFonts w:cs="Times New Roman"/>
          <w:sz w:val="23"/>
          <w:szCs w:val="23"/>
          <w:lang w:val="ro-RO"/>
        </w:rPr>
        <w:footnoteReference w:id="59"/>
      </w:r>
      <w:r w:rsidRPr="00B522CC">
        <w:rPr>
          <w:rFonts w:cs="Times New Roman"/>
          <w:b/>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Considerăm că datorită complexităţii şi dificultăţii accederii omului la cunoaşterea lui Dumnezeu, cauzată de păcat, Sfântul Apostol Pavel vorbeşte mai întâi despre cunoaşterea parţială a lui Dumnezeu, dar, în acelaşi timp, ne întăreşte în nădejdea vederii „</w:t>
      </w:r>
      <w:r w:rsidRPr="00B522CC">
        <w:rPr>
          <w:rFonts w:cs="Times New Roman"/>
          <w:i/>
          <w:sz w:val="23"/>
          <w:szCs w:val="23"/>
          <w:lang w:val="ro-RO"/>
        </w:rPr>
        <w:t>faţă către faţă”</w:t>
      </w:r>
      <w:r w:rsidRPr="00B522CC">
        <w:rPr>
          <w:rFonts w:cs="Times New Roman"/>
          <w:sz w:val="23"/>
          <w:szCs w:val="23"/>
          <w:lang w:val="ro-RO"/>
        </w:rPr>
        <w:t xml:space="preserve"> în condiţiile unui cer nou şi al unui pământ nou.</w:t>
      </w:r>
    </w:p>
    <w:p w:rsidR="00EE6A7E" w:rsidRPr="00B522CC" w:rsidRDefault="00EE6A7E" w:rsidP="00EE6A7E">
      <w:pPr>
        <w:ind w:firstLine="851"/>
        <w:jc w:val="both"/>
        <w:rPr>
          <w:rFonts w:cs="Times New Roman"/>
          <w:i/>
          <w:sz w:val="23"/>
          <w:szCs w:val="23"/>
          <w:lang w:val="ro-RO"/>
        </w:rPr>
      </w:pPr>
      <w:r w:rsidRPr="00B522CC">
        <w:rPr>
          <w:rStyle w:val="Heading3Char"/>
          <w:bCs w:val="0"/>
          <w:i/>
          <w:sz w:val="23"/>
          <w:szCs w:val="23"/>
          <w:lang w:val="ro-RO"/>
        </w:rPr>
        <w:t>A. Cunoaşterea parţială</w:t>
      </w:r>
      <w:r w:rsidRPr="00B522CC">
        <w:rPr>
          <w:rStyle w:val="FootnoteReference"/>
          <w:rFonts w:cs="Times New Roman"/>
          <w:b/>
          <w:i/>
          <w:sz w:val="23"/>
          <w:szCs w:val="23"/>
          <w:lang w:val="ro-RO"/>
        </w:rPr>
        <w:footnoteReference w:id="60"/>
      </w:r>
    </w:p>
    <w:p w:rsidR="00EE6A7E" w:rsidRPr="00B522CC" w:rsidRDefault="00EE6A7E" w:rsidP="00EE6A7E">
      <w:pPr>
        <w:pStyle w:val="Heading4"/>
        <w:spacing w:before="0" w:after="0"/>
        <w:ind w:left="0" w:firstLine="851"/>
        <w:jc w:val="both"/>
        <w:rPr>
          <w:b w:val="0"/>
          <w:i/>
          <w:sz w:val="23"/>
          <w:szCs w:val="23"/>
        </w:rPr>
      </w:pPr>
      <w:r w:rsidRPr="00B522CC">
        <w:rPr>
          <w:b w:val="0"/>
          <w:i/>
          <w:sz w:val="23"/>
          <w:szCs w:val="23"/>
        </w:rPr>
        <w:t>a. Referinţe nou-testamentare</w:t>
      </w:r>
    </w:p>
    <w:p w:rsidR="00EE6A7E" w:rsidRPr="00B522CC" w:rsidRDefault="00EE6A7E" w:rsidP="00EE6A7E">
      <w:pPr>
        <w:pStyle w:val="BodyText2"/>
        <w:spacing w:after="0" w:line="240" w:lineRule="auto"/>
        <w:ind w:firstLine="851"/>
        <w:jc w:val="both"/>
        <w:rPr>
          <w:sz w:val="23"/>
          <w:szCs w:val="23"/>
          <w:lang w:val="ro-RO"/>
        </w:rPr>
      </w:pPr>
      <w:r w:rsidRPr="00B522CC">
        <w:rPr>
          <w:i/>
          <w:sz w:val="23"/>
          <w:szCs w:val="23"/>
          <w:lang w:val="ro-RO"/>
        </w:rPr>
        <w:t xml:space="preserve">„Iubirea niciodată nu se trece. Fie ele profeţiile: pieri-vor; fie ele limbile: înceta-vor; fie ea ştiinţa </w:t>
      </w:r>
      <w:r w:rsidRPr="00B522CC">
        <w:rPr>
          <w:sz w:val="23"/>
          <w:szCs w:val="23"/>
          <w:lang w:val="ro-RO"/>
        </w:rPr>
        <w:t>(gnosis</w:t>
      </w:r>
      <w:r w:rsidRPr="00B522CC">
        <w:rPr>
          <w:i/>
          <w:sz w:val="23"/>
          <w:szCs w:val="23"/>
          <w:lang w:val="ro-RO"/>
        </w:rPr>
        <w:t xml:space="preserve">, </w:t>
      </w:r>
      <w:r w:rsidRPr="00B522CC">
        <w:rPr>
          <w:sz w:val="23"/>
          <w:szCs w:val="23"/>
          <w:lang w:val="ro-RO"/>
        </w:rPr>
        <w:t>scientia)</w:t>
      </w:r>
      <w:r w:rsidRPr="00B522CC">
        <w:rPr>
          <w:i/>
          <w:sz w:val="23"/>
          <w:szCs w:val="23"/>
          <w:lang w:val="ro-RO"/>
        </w:rPr>
        <w:t xml:space="preserve">: pieri-va </w:t>
      </w:r>
      <w:r w:rsidRPr="00B522CC">
        <w:rPr>
          <w:sz w:val="23"/>
          <w:szCs w:val="23"/>
          <w:lang w:val="ro-RO"/>
        </w:rPr>
        <w:t>(katargethesetai, destruetur)</w:t>
      </w:r>
      <w:r w:rsidRPr="00B522CC">
        <w:rPr>
          <w:i/>
          <w:sz w:val="23"/>
          <w:szCs w:val="23"/>
          <w:lang w:val="ro-RO"/>
        </w:rPr>
        <w:t xml:space="preserve">. În parte </w:t>
      </w:r>
      <w:r w:rsidRPr="00B522CC">
        <w:rPr>
          <w:sz w:val="23"/>
          <w:szCs w:val="23"/>
          <w:lang w:val="ro-RO"/>
        </w:rPr>
        <w:t>(ek merous, ex parte)</w:t>
      </w:r>
      <w:r w:rsidRPr="00B522CC">
        <w:rPr>
          <w:i/>
          <w:sz w:val="23"/>
          <w:szCs w:val="23"/>
          <w:lang w:val="ro-RO"/>
        </w:rPr>
        <w:t xml:space="preserve"> cunoaştem </w:t>
      </w:r>
      <w:r w:rsidRPr="00B522CC">
        <w:rPr>
          <w:sz w:val="23"/>
          <w:szCs w:val="23"/>
          <w:lang w:val="ro-RO"/>
        </w:rPr>
        <w:t>(ginoskomen</w:t>
      </w:r>
      <w:r w:rsidRPr="00B522CC">
        <w:rPr>
          <w:i/>
          <w:sz w:val="23"/>
          <w:szCs w:val="23"/>
          <w:lang w:val="ro-RO"/>
        </w:rPr>
        <w:t xml:space="preserve">, </w:t>
      </w:r>
      <w:r w:rsidRPr="00B522CC">
        <w:rPr>
          <w:sz w:val="23"/>
          <w:szCs w:val="23"/>
          <w:lang w:val="ro-RO"/>
        </w:rPr>
        <w:t>cognoscimus)</w:t>
      </w:r>
      <w:r w:rsidRPr="00B522CC">
        <w:rPr>
          <w:i/>
          <w:sz w:val="23"/>
          <w:szCs w:val="23"/>
          <w:lang w:val="ro-RO"/>
        </w:rPr>
        <w:t xml:space="preserve"> şi în parte profeţim. Dar când va veni ceea ce-i desăvârşit </w:t>
      </w:r>
      <w:r w:rsidRPr="00B522CC">
        <w:rPr>
          <w:sz w:val="23"/>
          <w:szCs w:val="23"/>
          <w:lang w:val="ro-RO"/>
        </w:rPr>
        <w:t>(to teleion, perfectum est)</w:t>
      </w:r>
      <w:r w:rsidRPr="00B522CC">
        <w:rPr>
          <w:i/>
          <w:sz w:val="23"/>
          <w:szCs w:val="23"/>
          <w:lang w:val="ro-RO"/>
        </w:rPr>
        <w:t xml:space="preserve">, atunci ceea ce-i în parte se va desfiinţa </w:t>
      </w:r>
      <w:r w:rsidRPr="00B522CC">
        <w:rPr>
          <w:sz w:val="23"/>
          <w:szCs w:val="23"/>
          <w:lang w:val="ro-RO"/>
        </w:rPr>
        <w:t>(katargethesetai</w:t>
      </w:r>
      <w:r w:rsidRPr="00B522CC">
        <w:rPr>
          <w:i/>
          <w:sz w:val="23"/>
          <w:szCs w:val="23"/>
          <w:lang w:val="ro-RO"/>
        </w:rPr>
        <w:t xml:space="preserve">, </w:t>
      </w:r>
      <w:r w:rsidRPr="00B522CC">
        <w:rPr>
          <w:sz w:val="23"/>
          <w:szCs w:val="23"/>
          <w:lang w:val="ro-RO"/>
        </w:rPr>
        <w:t>evacuabitur)</w:t>
      </w:r>
      <w:r w:rsidRPr="00B522CC">
        <w:rPr>
          <w:i/>
          <w:sz w:val="23"/>
          <w:szCs w:val="23"/>
          <w:lang w:val="ro-RO"/>
        </w:rPr>
        <w:t xml:space="preserve">. Când eram copil, vorbeam ca un copil, gândeam ca un copil, judecam ca un copil; dar când am devenit bărbat, le-am desfiinţat </w:t>
      </w:r>
      <w:r w:rsidRPr="00B522CC">
        <w:rPr>
          <w:sz w:val="23"/>
          <w:szCs w:val="23"/>
          <w:lang w:val="ro-RO"/>
        </w:rPr>
        <w:t>(kategreka, evacuavi)</w:t>
      </w:r>
      <w:r w:rsidRPr="00B522CC">
        <w:rPr>
          <w:i/>
          <w:sz w:val="23"/>
          <w:szCs w:val="23"/>
          <w:lang w:val="ro-RO"/>
        </w:rPr>
        <w:t xml:space="preserve"> pe cele ale copilului. Căci acum vedem </w:t>
      </w:r>
      <w:r w:rsidRPr="00B522CC">
        <w:rPr>
          <w:sz w:val="23"/>
          <w:szCs w:val="23"/>
          <w:lang w:val="ro-RO"/>
        </w:rPr>
        <w:t>(blepomen, videmus)</w:t>
      </w:r>
      <w:r w:rsidRPr="00B522CC">
        <w:rPr>
          <w:i/>
          <w:sz w:val="23"/>
          <w:szCs w:val="23"/>
          <w:lang w:val="ro-RO"/>
        </w:rPr>
        <w:t xml:space="preserve"> prin oglindă </w:t>
      </w:r>
      <w:r w:rsidRPr="00B522CC">
        <w:rPr>
          <w:sz w:val="23"/>
          <w:szCs w:val="23"/>
          <w:lang w:val="ro-RO"/>
        </w:rPr>
        <w:t>(di’esoptrou</w:t>
      </w:r>
      <w:r w:rsidRPr="00B522CC">
        <w:rPr>
          <w:i/>
          <w:sz w:val="23"/>
          <w:szCs w:val="23"/>
          <w:lang w:val="ro-RO"/>
        </w:rPr>
        <w:t xml:space="preserve">, </w:t>
      </w:r>
      <w:r w:rsidRPr="00B522CC">
        <w:rPr>
          <w:sz w:val="23"/>
          <w:szCs w:val="23"/>
          <w:lang w:val="ro-RO"/>
        </w:rPr>
        <w:t>per speculum)</w:t>
      </w:r>
      <w:r w:rsidRPr="00B522CC">
        <w:rPr>
          <w:i/>
          <w:sz w:val="23"/>
          <w:szCs w:val="23"/>
          <w:lang w:val="ro-RO"/>
        </w:rPr>
        <w:t xml:space="preserve"> ca-n ghicitură</w:t>
      </w:r>
      <w:r w:rsidRPr="00B522CC">
        <w:rPr>
          <w:sz w:val="23"/>
          <w:szCs w:val="23"/>
          <w:lang w:val="ro-RO"/>
        </w:rPr>
        <w:t xml:space="preserve"> (en ainigmati, in aenigmate)</w:t>
      </w:r>
      <w:r w:rsidRPr="00B522CC">
        <w:rPr>
          <w:i/>
          <w:sz w:val="23"/>
          <w:szCs w:val="23"/>
          <w:lang w:val="ro-RO"/>
        </w:rPr>
        <w:t>; dar atunci, faţă către faţă</w:t>
      </w:r>
      <w:r w:rsidRPr="00B522CC">
        <w:rPr>
          <w:sz w:val="23"/>
          <w:szCs w:val="23"/>
          <w:lang w:val="ro-RO"/>
        </w:rPr>
        <w:t xml:space="preserve"> (prosopon pros prosopon, facie ad faciem)</w:t>
      </w:r>
      <w:r w:rsidRPr="00B522CC">
        <w:rPr>
          <w:i/>
          <w:sz w:val="23"/>
          <w:szCs w:val="23"/>
          <w:lang w:val="ro-RO"/>
        </w:rPr>
        <w:t xml:space="preserve">. Acum cunosc în parte; atunci însă voi cunoaşte, aşa cum şi eu sunt cunoscut </w:t>
      </w:r>
      <w:r w:rsidRPr="00B522CC">
        <w:rPr>
          <w:sz w:val="23"/>
          <w:szCs w:val="23"/>
          <w:lang w:val="ro-RO"/>
        </w:rPr>
        <w:t>(epignosomai kathos kai epegnosthen, cognoscam sicut et cognitus sum)</w:t>
      </w:r>
      <w:r w:rsidRPr="00B522CC">
        <w:rPr>
          <w:i/>
          <w:sz w:val="23"/>
          <w:szCs w:val="23"/>
          <w:lang w:val="ro-RO"/>
        </w:rPr>
        <w:t xml:space="preserve">. Şi acum rămân acestea trei: credinţa </w:t>
      </w:r>
      <w:r w:rsidRPr="00B522CC">
        <w:rPr>
          <w:sz w:val="23"/>
          <w:szCs w:val="23"/>
          <w:lang w:val="ro-RO"/>
        </w:rPr>
        <w:t>(pistis, fides)</w:t>
      </w:r>
      <w:r w:rsidRPr="00B522CC">
        <w:rPr>
          <w:i/>
          <w:sz w:val="23"/>
          <w:szCs w:val="23"/>
          <w:lang w:val="ro-RO"/>
        </w:rPr>
        <w:t>, nădejdea</w:t>
      </w:r>
      <w:r w:rsidRPr="00B522CC">
        <w:rPr>
          <w:sz w:val="23"/>
          <w:szCs w:val="23"/>
          <w:lang w:val="ro-RO"/>
        </w:rPr>
        <w:t xml:space="preserve"> (elpis</w:t>
      </w:r>
      <w:r w:rsidRPr="00B522CC">
        <w:rPr>
          <w:i/>
          <w:sz w:val="23"/>
          <w:szCs w:val="23"/>
          <w:lang w:val="ro-RO"/>
        </w:rPr>
        <w:t>,</w:t>
      </w:r>
      <w:r w:rsidRPr="00B522CC">
        <w:rPr>
          <w:sz w:val="23"/>
          <w:szCs w:val="23"/>
          <w:lang w:val="ro-RO"/>
        </w:rPr>
        <w:t>spes)</w:t>
      </w:r>
      <w:r w:rsidRPr="00B522CC">
        <w:rPr>
          <w:i/>
          <w:sz w:val="23"/>
          <w:szCs w:val="23"/>
          <w:lang w:val="ro-RO"/>
        </w:rPr>
        <w:t xml:space="preserve"> iubirea</w:t>
      </w:r>
      <w:r w:rsidRPr="00B522CC">
        <w:rPr>
          <w:sz w:val="23"/>
          <w:szCs w:val="23"/>
          <w:lang w:val="ro-RO"/>
        </w:rPr>
        <w:t xml:space="preserve"> (agape</w:t>
      </w:r>
      <w:r w:rsidRPr="00B522CC">
        <w:rPr>
          <w:i/>
          <w:sz w:val="23"/>
          <w:szCs w:val="23"/>
          <w:lang w:val="ro-RO"/>
        </w:rPr>
        <w:t>,</w:t>
      </w:r>
      <w:r w:rsidRPr="00B522CC">
        <w:rPr>
          <w:sz w:val="23"/>
          <w:szCs w:val="23"/>
          <w:lang w:val="ro-RO"/>
        </w:rPr>
        <w:t>charitas)</w:t>
      </w:r>
      <w:r w:rsidRPr="00B522CC">
        <w:rPr>
          <w:i/>
          <w:sz w:val="23"/>
          <w:szCs w:val="23"/>
          <w:lang w:val="ro-RO"/>
        </w:rPr>
        <w:t xml:space="preserve">; dar cea mai mare din ele este iubirea </w:t>
      </w:r>
      <w:r w:rsidRPr="00B522CC">
        <w:rPr>
          <w:sz w:val="23"/>
          <w:szCs w:val="23"/>
          <w:lang w:val="ro-RO"/>
        </w:rPr>
        <w:t xml:space="preserve">(meizon de touton he agape, maior autem horum est charitas)” (1 Cor. 13, 8-13); cf. 1 Cor. 8, 2: </w:t>
      </w:r>
      <w:r w:rsidRPr="00B522CC">
        <w:rPr>
          <w:i/>
          <w:sz w:val="23"/>
          <w:szCs w:val="23"/>
          <w:lang w:val="ro-RO"/>
        </w:rPr>
        <w:t xml:space="preserve">„Iar dacă i se pare cuiva că a cunoscut ceva </w:t>
      </w:r>
      <w:r w:rsidRPr="00B522CC">
        <w:rPr>
          <w:sz w:val="23"/>
          <w:szCs w:val="23"/>
          <w:lang w:val="ro-RO"/>
        </w:rPr>
        <w:t>(ei tis dokei egnokenai ti)</w:t>
      </w:r>
      <w:r w:rsidRPr="00B522CC">
        <w:rPr>
          <w:i/>
          <w:sz w:val="23"/>
          <w:szCs w:val="23"/>
          <w:lang w:val="ro-RO"/>
        </w:rPr>
        <w:t xml:space="preserve">, încă nu a cunoscut cum trebuie să cunoască </w:t>
      </w:r>
      <w:r w:rsidRPr="00B522CC">
        <w:rPr>
          <w:sz w:val="23"/>
          <w:szCs w:val="23"/>
          <w:lang w:val="ro-RO"/>
        </w:rPr>
        <w:t>(oupo egno kathos dei gnonai, nondum cognovit quemadmodum oportet eum scire)</w:t>
      </w:r>
      <w:r w:rsidRPr="00B522CC">
        <w:rPr>
          <w:i/>
          <w:sz w:val="23"/>
          <w:szCs w:val="23"/>
          <w:lang w:val="ro-RO"/>
        </w:rPr>
        <w:t>”.</w:t>
      </w:r>
    </w:p>
    <w:p w:rsidR="00EE6A7E" w:rsidRPr="00B522CC" w:rsidRDefault="00EE6A7E" w:rsidP="00EE6A7E">
      <w:pPr>
        <w:pStyle w:val="BodyText2"/>
        <w:spacing w:after="0" w:line="240" w:lineRule="auto"/>
        <w:ind w:firstLine="851"/>
        <w:jc w:val="both"/>
        <w:rPr>
          <w:sz w:val="23"/>
          <w:szCs w:val="23"/>
          <w:lang w:val="ro-RO"/>
        </w:rPr>
      </w:pPr>
      <w:r w:rsidRPr="00B522CC">
        <w:rPr>
          <w:sz w:val="23"/>
          <w:szCs w:val="23"/>
          <w:lang w:val="ro-RO"/>
        </w:rPr>
        <w:t xml:space="preserve">S-ar putea înţelege din acest text (1 Cor. 13, 8-13) că nădejdea şi credinţa ar fi virtuţi temporare, aparţinând acestei vieţi, cerute de lipsa vederii: „(…) </w:t>
      </w:r>
      <w:r w:rsidRPr="00B522CC">
        <w:rPr>
          <w:i/>
          <w:sz w:val="23"/>
          <w:szCs w:val="23"/>
          <w:lang w:val="ro-RO"/>
        </w:rPr>
        <w:t xml:space="preserve">căci umblăm prin credinţă </w:t>
      </w:r>
      <w:r w:rsidRPr="00B522CC">
        <w:rPr>
          <w:sz w:val="23"/>
          <w:szCs w:val="23"/>
          <w:lang w:val="ro-RO"/>
        </w:rPr>
        <w:t xml:space="preserve">(dia pisteos, per fidem), </w:t>
      </w:r>
      <w:r w:rsidRPr="00B522CC">
        <w:rPr>
          <w:i/>
          <w:sz w:val="23"/>
          <w:szCs w:val="23"/>
          <w:lang w:val="ro-RO"/>
        </w:rPr>
        <w:t xml:space="preserve">nu prin vedere </w:t>
      </w:r>
      <w:r w:rsidRPr="00B522CC">
        <w:rPr>
          <w:sz w:val="23"/>
          <w:szCs w:val="23"/>
          <w:lang w:val="ro-RO"/>
        </w:rPr>
        <w:t>(ou dia eidous, non per speciem)” (2 Cor. 5, 7); „</w:t>
      </w:r>
      <w:r w:rsidRPr="00B522CC">
        <w:rPr>
          <w:i/>
          <w:sz w:val="23"/>
          <w:szCs w:val="23"/>
          <w:lang w:val="ro-RO"/>
        </w:rPr>
        <w:t xml:space="preserve">Iar credinţa este încredinţarea </w:t>
      </w:r>
      <w:r w:rsidRPr="00B522CC">
        <w:rPr>
          <w:sz w:val="23"/>
          <w:szCs w:val="23"/>
          <w:lang w:val="ro-RO"/>
        </w:rPr>
        <w:t xml:space="preserve">(elpizomenon hypostasis, sperandarum substantia rerum) </w:t>
      </w:r>
      <w:r w:rsidRPr="00B522CC">
        <w:rPr>
          <w:i/>
          <w:sz w:val="23"/>
          <w:szCs w:val="23"/>
          <w:lang w:val="ro-RO"/>
        </w:rPr>
        <w:t xml:space="preserve">celor nădăjduite, dovedirea lucrurilor celor nevăzute </w:t>
      </w:r>
      <w:r w:rsidRPr="00B522CC">
        <w:rPr>
          <w:sz w:val="23"/>
          <w:szCs w:val="23"/>
          <w:lang w:val="ro-RO"/>
        </w:rPr>
        <w:t>(pragmaton elenhos ou blepomenon, argumentum non apparentium)”. De nădejde este nevoie deoarece încă nu avem cele sperate: „</w:t>
      </w:r>
      <w:r w:rsidRPr="00B522CC">
        <w:rPr>
          <w:i/>
          <w:sz w:val="23"/>
          <w:szCs w:val="23"/>
          <w:lang w:val="ro-RO"/>
        </w:rPr>
        <w:t>Căci prin nădejde</w:t>
      </w:r>
      <w:r w:rsidRPr="00B522CC">
        <w:rPr>
          <w:sz w:val="23"/>
          <w:szCs w:val="23"/>
          <w:lang w:val="ro-RO"/>
        </w:rPr>
        <w:t xml:space="preserve"> </w:t>
      </w:r>
      <w:r w:rsidRPr="00B522CC">
        <w:rPr>
          <w:sz w:val="23"/>
          <w:szCs w:val="23"/>
          <w:lang w:val="ro-RO"/>
        </w:rPr>
        <w:lastRenderedPageBreak/>
        <w:t>(elpidi, spe)</w:t>
      </w:r>
      <w:r w:rsidRPr="00B522CC">
        <w:rPr>
          <w:i/>
          <w:sz w:val="23"/>
          <w:szCs w:val="23"/>
          <w:lang w:val="ro-RO"/>
        </w:rPr>
        <w:t xml:space="preserve"> ne-am mântuit; dar nădejdea care se vede</w:t>
      </w:r>
      <w:r w:rsidRPr="00B522CC">
        <w:rPr>
          <w:sz w:val="23"/>
          <w:szCs w:val="23"/>
          <w:lang w:val="ro-RO"/>
        </w:rPr>
        <w:t xml:space="preserve"> (blepomene, videtur)</w:t>
      </w:r>
      <w:r w:rsidRPr="00B522CC">
        <w:rPr>
          <w:i/>
          <w:sz w:val="23"/>
          <w:szCs w:val="23"/>
          <w:lang w:val="ro-RO"/>
        </w:rPr>
        <w:t xml:space="preserve"> nu mai e nădejde. Cum ar nădăjdui cineva ceea ce vede</w:t>
      </w:r>
      <w:r w:rsidRPr="00B522CC">
        <w:rPr>
          <w:sz w:val="23"/>
          <w:szCs w:val="23"/>
          <w:lang w:val="ro-RO"/>
        </w:rPr>
        <w:t xml:space="preserve"> (ho gar blepei tis, ti kai elpizei - nam quod videt quis, quid sperat)? </w:t>
      </w:r>
      <w:r w:rsidRPr="00B522CC">
        <w:rPr>
          <w:i/>
          <w:sz w:val="23"/>
          <w:szCs w:val="23"/>
          <w:lang w:val="ro-RO"/>
        </w:rPr>
        <w:t>Iar dacă nădăjduim ceea ce nu vedem, aşteptăm prin răbdare</w:t>
      </w:r>
      <w:r w:rsidRPr="00B522CC">
        <w:rPr>
          <w:sz w:val="23"/>
          <w:szCs w:val="23"/>
          <w:lang w:val="ro-RO"/>
        </w:rPr>
        <w:t>” (Rm. 8, 24-25).</w:t>
      </w:r>
    </w:p>
    <w:p w:rsidR="00EE6A7E" w:rsidRPr="00B522CC" w:rsidRDefault="00EE6A7E" w:rsidP="00EE6A7E">
      <w:pPr>
        <w:pStyle w:val="BodyText2"/>
        <w:spacing w:after="0" w:line="240" w:lineRule="auto"/>
        <w:ind w:firstLine="851"/>
        <w:jc w:val="both"/>
        <w:rPr>
          <w:sz w:val="23"/>
          <w:szCs w:val="23"/>
          <w:lang w:val="ro-RO"/>
        </w:rPr>
      </w:pPr>
      <w:r w:rsidRPr="00B522CC">
        <w:rPr>
          <w:sz w:val="23"/>
          <w:szCs w:val="23"/>
          <w:lang w:val="ro-RO"/>
        </w:rPr>
        <w:t>Cunoaşterea de aici nu este deplină, ci parţială</w:t>
      </w:r>
      <w:r w:rsidRPr="00B522CC">
        <w:rPr>
          <w:rStyle w:val="FootnoteReference"/>
          <w:sz w:val="23"/>
          <w:szCs w:val="23"/>
          <w:lang w:val="ro-RO"/>
        </w:rPr>
        <w:footnoteReference w:id="61"/>
      </w:r>
      <w:r w:rsidRPr="00B522CC">
        <w:rPr>
          <w:sz w:val="23"/>
          <w:szCs w:val="23"/>
          <w:lang w:val="ro-RO"/>
        </w:rPr>
        <w:t>, incompletă. Aşa s-ar putea înţelege afirmaţia potrivit căreia „cunoaşterea</w:t>
      </w:r>
      <w:r w:rsidRPr="00B522CC">
        <w:rPr>
          <w:rStyle w:val="FootnoteReference"/>
          <w:sz w:val="23"/>
          <w:szCs w:val="23"/>
          <w:lang w:val="ro-RO"/>
        </w:rPr>
        <w:footnoteReference w:id="62"/>
      </w:r>
      <w:r w:rsidRPr="00B522CC">
        <w:rPr>
          <w:sz w:val="23"/>
          <w:szCs w:val="23"/>
          <w:lang w:val="ro-RO"/>
        </w:rPr>
        <w:t>, gnosis” (1 Cor. 13, 8) va pieri. Fără cunoaştere, credinţa şi iubirea s-ar dizolva în elemente irecognoscibile</w:t>
      </w:r>
      <w:r w:rsidRPr="00B522CC">
        <w:rPr>
          <w:rStyle w:val="FootnoteReference"/>
          <w:sz w:val="23"/>
          <w:szCs w:val="23"/>
          <w:lang w:val="ro-RO"/>
        </w:rPr>
        <w:footnoteReference w:id="63"/>
      </w:r>
      <w:r w:rsidRPr="00B522CC">
        <w:rPr>
          <w:sz w:val="23"/>
          <w:szCs w:val="23"/>
          <w:lang w:val="ro-RO"/>
        </w:rPr>
        <w:t>. Potrivit Sfântului Maxim Mărturisitorul cunoaşterea (</w:t>
      </w:r>
      <w:r w:rsidRPr="00B522CC">
        <w:rPr>
          <w:i/>
          <w:sz w:val="23"/>
          <w:szCs w:val="23"/>
          <w:lang w:val="ro-RO"/>
        </w:rPr>
        <w:t>gnosis</w:t>
      </w:r>
      <w:r w:rsidRPr="00B522CC">
        <w:rPr>
          <w:sz w:val="23"/>
          <w:szCs w:val="23"/>
          <w:lang w:val="ro-RO"/>
        </w:rPr>
        <w:t>) devine iubire (</w:t>
      </w:r>
      <w:r w:rsidRPr="00B522CC">
        <w:rPr>
          <w:i/>
          <w:sz w:val="23"/>
          <w:szCs w:val="23"/>
          <w:lang w:val="ro-RO"/>
        </w:rPr>
        <w:t>agape</w:t>
      </w:r>
      <w:r w:rsidRPr="00B522CC">
        <w:rPr>
          <w:sz w:val="23"/>
          <w:szCs w:val="23"/>
          <w:lang w:val="ro-RO"/>
        </w:rPr>
        <w:t>). Nu înseamnă că elementul noetic dispare, mistica ortodoxă accentuează în mod deosebit dimensiunea noetică</w:t>
      </w:r>
      <w:r w:rsidRPr="00B522CC">
        <w:rPr>
          <w:rStyle w:val="FootnoteReference"/>
          <w:sz w:val="23"/>
          <w:szCs w:val="23"/>
          <w:lang w:val="ro-RO"/>
        </w:rPr>
        <w:footnoteReference w:id="64"/>
      </w:r>
      <w:r w:rsidRPr="00B522CC">
        <w:rPr>
          <w:sz w:val="23"/>
          <w:szCs w:val="23"/>
          <w:lang w:val="ro-RO"/>
        </w:rPr>
        <w:t xml:space="preserve">. De fapt Sfântul Apostol Pavel nu doreşte să spună că în </w:t>
      </w:r>
      <w:r w:rsidRPr="00B522CC">
        <w:rPr>
          <w:i/>
          <w:sz w:val="23"/>
          <w:szCs w:val="23"/>
          <w:lang w:val="ro-RO"/>
        </w:rPr>
        <w:t>eshaton</w:t>
      </w:r>
      <w:r w:rsidRPr="00B522CC">
        <w:rPr>
          <w:sz w:val="23"/>
          <w:szCs w:val="23"/>
          <w:lang w:val="ro-RO"/>
        </w:rPr>
        <w:t xml:space="preserve"> nu va cunoaşte nimic, ci că va cunoaşte deplin. Acum cunoaşte în parte, atunci va cunoaşte aşa cum este el cunoscut acum, deci nu cunoaşterea va fi abolită, ci nedeplinătatea sa.</w:t>
      </w:r>
    </w:p>
    <w:p w:rsidR="00EE6A7E" w:rsidRPr="00B522CC" w:rsidRDefault="00EE6A7E" w:rsidP="00EE6A7E">
      <w:pPr>
        <w:pStyle w:val="BodyText2"/>
        <w:spacing w:after="0" w:line="240" w:lineRule="auto"/>
        <w:ind w:firstLine="851"/>
        <w:jc w:val="both"/>
        <w:rPr>
          <w:sz w:val="23"/>
          <w:szCs w:val="23"/>
          <w:lang w:val="ro-RO"/>
        </w:rPr>
      </w:pPr>
      <w:r w:rsidRPr="00B522CC">
        <w:rPr>
          <w:sz w:val="23"/>
          <w:szCs w:val="23"/>
          <w:lang w:val="ro-RO"/>
        </w:rPr>
        <w:t xml:space="preserve">În capitolul I din </w:t>
      </w:r>
      <w:r w:rsidRPr="00B522CC">
        <w:rPr>
          <w:i/>
          <w:sz w:val="23"/>
          <w:szCs w:val="23"/>
          <w:lang w:val="ro-RO"/>
        </w:rPr>
        <w:t xml:space="preserve">Epistola către Corinteni, </w:t>
      </w:r>
      <w:r w:rsidRPr="00B522CC">
        <w:rPr>
          <w:sz w:val="23"/>
          <w:szCs w:val="23"/>
          <w:lang w:val="ro-RO"/>
        </w:rPr>
        <w:t xml:space="preserve">Sfântul Apostol Pavel criticase înţelepciunea lumii acesteia: „(…) </w:t>
      </w:r>
      <w:r w:rsidRPr="00B522CC">
        <w:rPr>
          <w:i/>
          <w:sz w:val="23"/>
          <w:szCs w:val="23"/>
          <w:lang w:val="ro-RO"/>
        </w:rPr>
        <w:t xml:space="preserve">oare n-a arătat Dumnezeu drept nebună înţelepciunea </w:t>
      </w:r>
      <w:r w:rsidRPr="00B522CC">
        <w:rPr>
          <w:sz w:val="23"/>
          <w:szCs w:val="23"/>
          <w:lang w:val="ro-RO"/>
        </w:rPr>
        <w:t>(sophia, sapientia)</w:t>
      </w:r>
      <w:r w:rsidRPr="00B522CC">
        <w:rPr>
          <w:i/>
          <w:sz w:val="23"/>
          <w:szCs w:val="23"/>
          <w:lang w:val="ro-RO"/>
        </w:rPr>
        <w:t xml:space="preserve"> lumii acesteia</w:t>
      </w:r>
      <w:r w:rsidRPr="00B522CC">
        <w:rPr>
          <w:sz w:val="23"/>
          <w:szCs w:val="23"/>
          <w:lang w:val="ro-RO"/>
        </w:rPr>
        <w:t xml:space="preserve">?” (1 Cor. 1, 20). Verbul </w:t>
      </w:r>
      <w:r w:rsidRPr="00B522CC">
        <w:rPr>
          <w:i/>
          <w:sz w:val="23"/>
          <w:szCs w:val="23"/>
          <w:lang w:val="ro-RO"/>
        </w:rPr>
        <w:t>katargein</w:t>
      </w:r>
      <w:r w:rsidRPr="00B522CC">
        <w:rPr>
          <w:sz w:val="23"/>
          <w:szCs w:val="23"/>
          <w:lang w:val="ro-RO"/>
        </w:rPr>
        <w:t xml:space="preserve"> folosit în 1 Cor. 1, 28: „(…) </w:t>
      </w:r>
      <w:r w:rsidRPr="00B522CC">
        <w:rPr>
          <w:i/>
          <w:sz w:val="23"/>
          <w:szCs w:val="23"/>
          <w:lang w:val="ro-RO"/>
        </w:rPr>
        <w:t>ca să le facă de nimic</w:t>
      </w:r>
      <w:r w:rsidRPr="00B522CC">
        <w:rPr>
          <w:sz w:val="23"/>
          <w:szCs w:val="23"/>
          <w:lang w:val="ro-RO"/>
        </w:rPr>
        <w:t xml:space="preserve"> (katargese, destrueret)”, find reluat în vs. 8, 10, 11 ale capitolului XIII. Dacă în capitolul I, vs. 19, Sfântul Apostol Pavel îl cita pe profetul Isaia (29, 14): „</w:t>
      </w:r>
      <w:r w:rsidRPr="00B522CC">
        <w:rPr>
          <w:i/>
          <w:sz w:val="23"/>
          <w:szCs w:val="23"/>
          <w:lang w:val="ro-RO"/>
        </w:rPr>
        <w:t xml:space="preserve">Pierde-voi </w:t>
      </w:r>
      <w:r w:rsidRPr="00B522CC">
        <w:rPr>
          <w:sz w:val="23"/>
          <w:szCs w:val="23"/>
          <w:lang w:val="ro-RO"/>
        </w:rPr>
        <w:t>(apolo)</w:t>
      </w:r>
      <w:r w:rsidRPr="00B522CC">
        <w:rPr>
          <w:i/>
          <w:sz w:val="23"/>
          <w:szCs w:val="23"/>
          <w:lang w:val="ro-RO"/>
        </w:rPr>
        <w:t xml:space="preserve"> înţelepciunea</w:t>
      </w:r>
      <w:r w:rsidRPr="00B522CC">
        <w:rPr>
          <w:sz w:val="23"/>
          <w:szCs w:val="23"/>
          <w:lang w:val="ro-RO"/>
        </w:rPr>
        <w:t xml:space="preserve"> (sophia)</w:t>
      </w:r>
      <w:r w:rsidRPr="00B522CC">
        <w:rPr>
          <w:i/>
          <w:sz w:val="23"/>
          <w:szCs w:val="23"/>
          <w:lang w:val="ro-RO"/>
        </w:rPr>
        <w:t xml:space="preserve"> înţelepţilor şi deşteptăciunea </w:t>
      </w:r>
      <w:r w:rsidRPr="00B522CC">
        <w:rPr>
          <w:sz w:val="23"/>
          <w:szCs w:val="23"/>
          <w:lang w:val="ro-RO"/>
        </w:rPr>
        <w:t>(synesis)</w:t>
      </w:r>
      <w:r w:rsidRPr="00B522CC">
        <w:rPr>
          <w:i/>
          <w:sz w:val="23"/>
          <w:szCs w:val="23"/>
          <w:lang w:val="ro-RO"/>
        </w:rPr>
        <w:t xml:space="preserve"> celor deştepţi o voi ascunde”</w:t>
      </w:r>
      <w:r w:rsidRPr="00B522CC">
        <w:rPr>
          <w:sz w:val="23"/>
          <w:szCs w:val="23"/>
          <w:lang w:val="ro-RO"/>
        </w:rPr>
        <w:t>, şi se referea la judecata lui Dumnezeu asupra celor care nu primesc propovăduirea creştină, „</w:t>
      </w:r>
      <w:r w:rsidRPr="00B522CC">
        <w:rPr>
          <w:i/>
          <w:sz w:val="23"/>
          <w:szCs w:val="23"/>
          <w:lang w:val="ro-RO"/>
        </w:rPr>
        <w:t>cuvântul crucii</w:t>
      </w:r>
      <w:r w:rsidRPr="00B522CC">
        <w:rPr>
          <w:sz w:val="23"/>
          <w:szCs w:val="23"/>
          <w:lang w:val="ro-RO"/>
        </w:rPr>
        <w:t>”, şi nu la cunoaşterea umană în sine. În capitolul XIII este vorba despre dispariţia cunoaşterii parţiale. „Limbajul distrugerii” poate fi explicat şi prin tendinţele gnostice, „</w:t>
      </w:r>
      <w:r w:rsidRPr="00B522CC">
        <w:rPr>
          <w:i/>
          <w:sz w:val="23"/>
          <w:szCs w:val="23"/>
          <w:lang w:val="ro-RO"/>
        </w:rPr>
        <w:t>gnosis</w:t>
      </w:r>
      <w:r w:rsidRPr="00B522CC">
        <w:rPr>
          <w:sz w:val="23"/>
          <w:szCs w:val="23"/>
          <w:lang w:val="ro-RO"/>
        </w:rPr>
        <w:t>” (13, 2 şi 8), existente la anumiţi corinteni. Sfântul Apostol Pavel îi avertizase: „</w:t>
      </w:r>
      <w:r w:rsidRPr="00B522CC">
        <w:rPr>
          <w:i/>
          <w:sz w:val="23"/>
          <w:szCs w:val="23"/>
          <w:lang w:val="ro-RO"/>
        </w:rPr>
        <w:t>cunoştinţa însă îngâmfă, dar iubirea zideşte</w:t>
      </w:r>
      <w:r w:rsidRPr="00B522CC">
        <w:rPr>
          <w:sz w:val="23"/>
          <w:szCs w:val="23"/>
          <w:lang w:val="ro-RO"/>
        </w:rPr>
        <w:t xml:space="preserve">” (8, 1), şi chiar acea cunoştinţă va pieri, deoarece </w:t>
      </w:r>
      <w:r w:rsidRPr="00B522CC">
        <w:rPr>
          <w:i/>
          <w:sz w:val="23"/>
          <w:szCs w:val="23"/>
          <w:lang w:val="ro-RO"/>
        </w:rPr>
        <w:t>gnosis</w:t>
      </w:r>
      <w:r w:rsidRPr="00B522CC">
        <w:rPr>
          <w:sz w:val="23"/>
          <w:szCs w:val="23"/>
          <w:lang w:val="ro-RO"/>
        </w:rPr>
        <w:t xml:space="preserve"> este o cunoaştere secretă a lui Dumnezeu, iar când Dumnezeu Se va manifesta, nimeni nu se va putea mândri cu acumularea unei cunoaşteri secrete</w:t>
      </w:r>
      <w:r w:rsidRPr="00B522CC">
        <w:rPr>
          <w:rStyle w:val="FootnoteReference"/>
          <w:sz w:val="23"/>
          <w:szCs w:val="23"/>
          <w:lang w:val="ro-RO"/>
        </w:rPr>
        <w:footnoteReference w:id="65"/>
      </w:r>
      <w:r w:rsidRPr="00B522CC">
        <w:rPr>
          <w:sz w:val="23"/>
          <w:szCs w:val="23"/>
          <w:lang w:val="ro-RO"/>
        </w:rPr>
        <w:t>. Cu alte cuvinte se va distruge în primul rând modul restrictiv de a percepe posedarea cunoaşterii, nu conţinutul ei.</w:t>
      </w:r>
    </w:p>
    <w:p w:rsidR="00EE6A7E" w:rsidRPr="00B522CC" w:rsidRDefault="00EE6A7E" w:rsidP="00EE6A7E">
      <w:pPr>
        <w:pStyle w:val="BodyText2"/>
        <w:spacing w:after="0" w:line="240" w:lineRule="auto"/>
        <w:ind w:firstLine="851"/>
        <w:jc w:val="both"/>
        <w:rPr>
          <w:sz w:val="23"/>
          <w:szCs w:val="23"/>
          <w:lang w:val="ro-RO"/>
        </w:rPr>
      </w:pPr>
      <w:r w:rsidRPr="00B522CC">
        <w:rPr>
          <w:sz w:val="23"/>
          <w:szCs w:val="23"/>
          <w:lang w:val="ro-RO"/>
        </w:rPr>
        <w:t>„</w:t>
      </w:r>
      <w:r w:rsidRPr="00B522CC">
        <w:rPr>
          <w:i/>
          <w:sz w:val="23"/>
          <w:szCs w:val="23"/>
          <w:lang w:val="ro-RO"/>
        </w:rPr>
        <w:t>Dar când va veni ceea ce-i desăvârşit</w:t>
      </w:r>
      <w:r w:rsidRPr="00B522CC">
        <w:rPr>
          <w:sz w:val="23"/>
          <w:szCs w:val="23"/>
          <w:lang w:val="ro-RO"/>
        </w:rPr>
        <w:t xml:space="preserve"> (to teleion)</w:t>
      </w:r>
      <w:r w:rsidRPr="00B522CC">
        <w:rPr>
          <w:i/>
          <w:sz w:val="23"/>
          <w:szCs w:val="23"/>
          <w:lang w:val="ro-RO"/>
        </w:rPr>
        <w:t>, atunci ceea ce-i în parte</w:t>
      </w:r>
      <w:r w:rsidRPr="00B522CC">
        <w:rPr>
          <w:sz w:val="23"/>
          <w:szCs w:val="23"/>
          <w:lang w:val="ro-RO"/>
        </w:rPr>
        <w:t xml:space="preserve"> (to ek merous)</w:t>
      </w:r>
      <w:r w:rsidRPr="00B522CC">
        <w:rPr>
          <w:i/>
          <w:sz w:val="23"/>
          <w:szCs w:val="23"/>
          <w:lang w:val="ro-RO"/>
        </w:rPr>
        <w:t xml:space="preserve"> se va desfiinţa</w:t>
      </w:r>
      <w:r w:rsidRPr="00B522CC">
        <w:rPr>
          <w:sz w:val="23"/>
          <w:szCs w:val="23"/>
          <w:lang w:val="ro-RO"/>
        </w:rPr>
        <w:t>” (13, 10). Dacă înţelegem prin distrugere nimicirea părţilor, nu credem că avem sensul corect. Sfântul Apostol Pavel nu afirmă că părţile sunt distruse, sau că devin inutile atunci când acestea sunt asamblate într-un întreg. Dacă ar pieri toate părticelele de cunoaştere a lui Dumnezeu pe care le avem acum, probabil dincolo am cunoaşte mai puţin decât aici. Sfântul Apostol Pavel spune că theognosia de aici este fragmentară, adică nu avem întreaga imagine. Şi din acest motiv este necesară apartenenţa la comunitatea eclesială, pentru a fi în comuniunea sfinţilor, a unei largi varietăţi de persoane, având fiecare originalitate în privinţa modului de raportare la prezenţa dumnezeiască. A se vedea, în acest sens, cazurile prezentate în Noul Testament, varietatea motivelor pentru care diferitele persoane apelează la intervenţia salvatoare a Mântuitorului, precum şi diversele modalităţi în care îşi prezintă încrederea în Hristos Domnul.</w:t>
      </w:r>
    </w:p>
    <w:p w:rsidR="00EE6A7E" w:rsidRPr="00B522CC" w:rsidRDefault="00EE6A7E" w:rsidP="00EE6A7E">
      <w:pPr>
        <w:pStyle w:val="BodyText2"/>
        <w:spacing w:after="0" w:line="240" w:lineRule="auto"/>
        <w:ind w:firstLine="851"/>
        <w:jc w:val="both"/>
        <w:rPr>
          <w:sz w:val="23"/>
          <w:szCs w:val="23"/>
          <w:lang w:val="ro-RO"/>
        </w:rPr>
      </w:pPr>
      <w:r w:rsidRPr="00B522CC">
        <w:rPr>
          <w:sz w:val="23"/>
          <w:szCs w:val="23"/>
          <w:lang w:val="ro-RO"/>
        </w:rPr>
        <w:t xml:space="preserve">Dar ce a dorit să exprime prin cuvintele „în parte”? Oare fragmentele îşi vor pierde identitatea </w:t>
      </w:r>
      <w:r w:rsidRPr="00B522CC">
        <w:rPr>
          <w:i/>
          <w:sz w:val="23"/>
          <w:szCs w:val="23"/>
          <w:lang w:val="ro-RO"/>
        </w:rPr>
        <w:t>ca</w:t>
      </w:r>
      <w:r w:rsidRPr="00B522CC">
        <w:rPr>
          <w:sz w:val="23"/>
          <w:szCs w:val="23"/>
          <w:lang w:val="ro-RO"/>
        </w:rPr>
        <w:t xml:space="preserve"> fragmente, dar nu şi conţinutul, sau s-a referit la ceva asemenea ingredientelor, care încetează de a mai fi ce sunt, pentru ca împreună să devină altceva?</w:t>
      </w:r>
      <w:r w:rsidRPr="00B522CC">
        <w:rPr>
          <w:rStyle w:val="FootnoteReference"/>
          <w:sz w:val="23"/>
          <w:szCs w:val="23"/>
          <w:lang w:val="ro-RO"/>
        </w:rPr>
        <w:footnoteReference w:id="66"/>
      </w:r>
      <w:r w:rsidRPr="00B522CC">
        <w:rPr>
          <w:sz w:val="23"/>
          <w:szCs w:val="23"/>
          <w:lang w:val="ro-RO"/>
        </w:rPr>
        <w:t xml:space="preserve"> Sfântul Apostol Pavel ne oferă cele două comparaţii pentru a înţelege că această cunoaştere parţială nu este în primul rând o cunoaştere a părţilor, ci o cunoaştere imperfectă: cunoaşterea copilului şi cunoaşterea „</w:t>
      </w:r>
      <w:r w:rsidRPr="00B522CC">
        <w:rPr>
          <w:i/>
          <w:sz w:val="23"/>
          <w:szCs w:val="23"/>
          <w:lang w:val="ro-RO"/>
        </w:rPr>
        <w:t>prin oglindă, ca-n ghicitură”</w:t>
      </w:r>
      <w:r w:rsidRPr="00B522CC">
        <w:rPr>
          <w:sz w:val="23"/>
          <w:szCs w:val="23"/>
          <w:lang w:val="ro-RO"/>
        </w:rPr>
        <w:t xml:space="preserve">. Privitor la prima comparaţie se poate afirma că un copil gândeşte, cunoaşte şi raţionează în modalităţi ce par imperfecte adultului. La această imperfecţiune </w:t>
      </w:r>
      <w:r w:rsidRPr="00B522CC">
        <w:rPr>
          <w:sz w:val="23"/>
          <w:szCs w:val="23"/>
          <w:lang w:val="ro-RO"/>
        </w:rPr>
        <w:lastRenderedPageBreak/>
        <w:t>gnoseologică, mai degrabă decât la imaturitatea morală sau la inocenţă, se referă Sfântul Apostol Pavel. În copilărie nu cunoaştem părţi sau bucăţi, ci cunoaştem parţial, şi aceasta nu va fi completată, ci schimbată.</w:t>
      </w:r>
    </w:p>
    <w:p w:rsidR="00EE6A7E" w:rsidRPr="00B522CC" w:rsidRDefault="00EE6A7E" w:rsidP="00EE6A7E">
      <w:pPr>
        <w:pStyle w:val="BodyText2"/>
        <w:spacing w:after="0" w:line="240" w:lineRule="auto"/>
        <w:ind w:firstLine="851"/>
        <w:jc w:val="both"/>
        <w:rPr>
          <w:sz w:val="23"/>
          <w:szCs w:val="23"/>
          <w:lang w:val="ro-RO"/>
        </w:rPr>
      </w:pPr>
      <w:r w:rsidRPr="00B522CC">
        <w:rPr>
          <w:sz w:val="23"/>
          <w:szCs w:val="23"/>
          <w:lang w:val="ro-RO"/>
        </w:rPr>
        <w:t xml:space="preserve">Cu referire la a doua comparaţie trebuie precizat că în literatura elenistică, oglinda este asociată cu trei teme: claritatea percepţiei, cunoaşterea de sine şi cunoaşterea indirectă. Comentatorii sunt în general de acord că a treia temă este aplicabilă textului în analiză, fiind vorba despre natura indirectă a cunoşterii noastre de aici. Scopul principal al unei oglinzi este acela de a reflecta imaginea persoanelor care o folosesc. Dar în </w:t>
      </w:r>
      <w:r w:rsidRPr="00B522CC">
        <w:rPr>
          <w:i/>
          <w:sz w:val="23"/>
          <w:szCs w:val="23"/>
          <w:lang w:val="ro-RO"/>
        </w:rPr>
        <w:t>1 Corinteni</w:t>
      </w:r>
      <w:r w:rsidRPr="00B522CC">
        <w:rPr>
          <w:sz w:val="23"/>
          <w:szCs w:val="23"/>
          <w:lang w:val="ro-RO"/>
        </w:rPr>
        <w:t>, nu cel ce priveşte este în centru, ci Dumnezeu care este inaccesibil, prin natura Sa transcendentă, vederii omului. Se face o trimitere la cunoaşterea de sine atunci când spune: „</w:t>
      </w:r>
      <w:r w:rsidRPr="00B522CC">
        <w:rPr>
          <w:i/>
          <w:sz w:val="23"/>
          <w:szCs w:val="23"/>
          <w:lang w:val="ro-RO"/>
        </w:rPr>
        <w:t>aşa cum sunt şi eu cunoscut</w:t>
      </w:r>
      <w:r w:rsidRPr="00B522CC">
        <w:rPr>
          <w:sz w:val="23"/>
          <w:szCs w:val="23"/>
          <w:lang w:val="ro-RO"/>
        </w:rPr>
        <w:t>”, dar nu Apostolul are deplina cunoaştere de sine, ci Dumnezeu. În viaţa de dincolo, oglinda va dispărea şi cunoaşterea lui Dumnezeu va fi aşa cum este cunoscut Apostolul de către Dumnezeu</w:t>
      </w:r>
      <w:r w:rsidRPr="00B522CC">
        <w:rPr>
          <w:rStyle w:val="FootnoteReference"/>
          <w:sz w:val="23"/>
          <w:szCs w:val="23"/>
          <w:lang w:val="ro-RO"/>
        </w:rPr>
        <w:footnoteReference w:id="67"/>
      </w:r>
      <w:r w:rsidRPr="00B522CC">
        <w:rPr>
          <w:sz w:val="23"/>
          <w:szCs w:val="23"/>
          <w:lang w:val="ro-RO"/>
        </w:rPr>
        <w:t>.</w:t>
      </w:r>
      <w:r w:rsidRPr="00B522CC">
        <w:rPr>
          <w:b/>
          <w:sz w:val="23"/>
          <w:szCs w:val="23"/>
          <w:lang w:val="ro-RO"/>
        </w:rPr>
        <w:t xml:space="preserve"> </w:t>
      </w:r>
      <w:r w:rsidRPr="00B522CC">
        <w:rPr>
          <w:sz w:val="23"/>
          <w:szCs w:val="23"/>
          <w:lang w:val="ro-RO"/>
        </w:rPr>
        <w:t>În 2 Cor. 3, 18, a avut în vedere procesul invers când a scris: „</w:t>
      </w:r>
      <w:r w:rsidRPr="00B522CC">
        <w:rPr>
          <w:i/>
          <w:sz w:val="23"/>
          <w:szCs w:val="23"/>
          <w:lang w:val="ro-RO"/>
        </w:rPr>
        <w:t xml:space="preserve">Iar noi toţi, privind ca în oglindă </w:t>
      </w:r>
      <w:r w:rsidRPr="00B522CC">
        <w:rPr>
          <w:sz w:val="23"/>
          <w:szCs w:val="23"/>
          <w:lang w:val="ro-RO"/>
        </w:rPr>
        <w:t xml:space="preserve">(katoptrizomenoi, speculantes) </w:t>
      </w:r>
      <w:r w:rsidRPr="00B522CC">
        <w:rPr>
          <w:i/>
          <w:sz w:val="23"/>
          <w:szCs w:val="23"/>
          <w:lang w:val="ro-RO"/>
        </w:rPr>
        <w:t>cu faţa descoperită, slava Domnului, ne prefacem</w:t>
      </w:r>
      <w:r w:rsidRPr="00B522CC">
        <w:rPr>
          <w:sz w:val="23"/>
          <w:szCs w:val="23"/>
          <w:lang w:val="ro-RO"/>
        </w:rPr>
        <w:t xml:space="preserve"> (metamophoumetha, transformamur)</w:t>
      </w:r>
      <w:r w:rsidRPr="00B522CC">
        <w:rPr>
          <w:i/>
          <w:sz w:val="23"/>
          <w:szCs w:val="23"/>
          <w:lang w:val="ro-RO"/>
        </w:rPr>
        <w:t xml:space="preserve"> în acelaşi chip din slavă în slavă, ca de la Duhul Domnului</w:t>
      </w:r>
      <w:r w:rsidRPr="00B522CC">
        <w:rPr>
          <w:sz w:val="23"/>
          <w:szCs w:val="23"/>
          <w:lang w:val="ro-RO"/>
        </w:rPr>
        <w:t xml:space="preserve">”. Verbul la participiu </w:t>
      </w:r>
      <w:r w:rsidRPr="00B522CC">
        <w:rPr>
          <w:i/>
          <w:sz w:val="23"/>
          <w:szCs w:val="23"/>
          <w:lang w:val="ro-RO"/>
        </w:rPr>
        <w:t>katoptrizomenoi</w:t>
      </w:r>
      <w:r w:rsidRPr="00B522CC">
        <w:rPr>
          <w:sz w:val="23"/>
          <w:szCs w:val="23"/>
          <w:lang w:val="ro-RO"/>
        </w:rPr>
        <w:t xml:space="preserve"> înseamnă „a privi în oglindă”, dar poate însemna şi „a se reflecta într-o oglindă”, feţele umane nu doar reflectă slava lui Dumnezeu, ci sunt ele însele transfigurate „</w:t>
      </w:r>
      <w:r w:rsidRPr="00B522CC">
        <w:rPr>
          <w:i/>
          <w:sz w:val="23"/>
          <w:szCs w:val="23"/>
          <w:lang w:val="ro-RO"/>
        </w:rPr>
        <w:t>din slavă în slavă</w:t>
      </w:r>
      <w:r w:rsidRPr="00B522CC">
        <w:rPr>
          <w:sz w:val="23"/>
          <w:szCs w:val="23"/>
          <w:lang w:val="ro-RO"/>
        </w:rPr>
        <w:t>”.</w:t>
      </w:r>
    </w:p>
    <w:p w:rsidR="00EE6A7E" w:rsidRPr="00B522CC" w:rsidRDefault="00EE6A7E" w:rsidP="00EE6A7E">
      <w:pPr>
        <w:pStyle w:val="BodyText2"/>
        <w:spacing w:after="0" w:line="240" w:lineRule="auto"/>
        <w:ind w:firstLine="851"/>
        <w:jc w:val="both"/>
        <w:rPr>
          <w:sz w:val="23"/>
          <w:szCs w:val="23"/>
          <w:lang w:val="ro-RO"/>
        </w:rPr>
      </w:pPr>
      <w:r w:rsidRPr="00B522CC">
        <w:rPr>
          <w:sz w:val="23"/>
          <w:szCs w:val="23"/>
          <w:lang w:val="ro-RO"/>
        </w:rPr>
        <w:t>Sfântul Apostol Pavel mărturiseşte că omul, în această viaţă, nu poate să-L cunoască pe Dumnezeu în mod desăvârşit „</w:t>
      </w:r>
      <w:r w:rsidRPr="00B522CC">
        <w:rPr>
          <w:i/>
          <w:sz w:val="23"/>
          <w:szCs w:val="23"/>
          <w:lang w:val="ro-RO"/>
        </w:rPr>
        <w:t>pentru că în parte cunoaştem şi în parte profeţim, dar când va veni desăvârşirea, atunci ceea ce este în parte va dispărea</w:t>
      </w:r>
      <w:r w:rsidRPr="00B522CC">
        <w:rPr>
          <w:sz w:val="23"/>
          <w:szCs w:val="23"/>
          <w:lang w:val="ro-RO"/>
        </w:rPr>
        <w:t>” (1 Cor. 13, 9-10). Când vorbeşte despre desăvârşire, se referă la Parusie, când Iisus Se va arăta în toată slava Sa şi nu-L vom mai vedea „</w:t>
      </w:r>
      <w:r w:rsidRPr="00B522CC">
        <w:rPr>
          <w:i/>
          <w:sz w:val="23"/>
          <w:szCs w:val="23"/>
          <w:lang w:val="ro-RO"/>
        </w:rPr>
        <w:t>ca prin oglindă, în ghicitură, ci faţă către faţă</w:t>
      </w:r>
      <w:r w:rsidRPr="00B522CC">
        <w:rPr>
          <w:sz w:val="23"/>
          <w:szCs w:val="23"/>
          <w:lang w:val="ro-RO"/>
        </w:rPr>
        <w:t>” (1 Cor. 13, 12), adică mai personal decât în această viaţă. „</w:t>
      </w:r>
      <w:r w:rsidRPr="00B522CC">
        <w:rPr>
          <w:i/>
          <w:sz w:val="23"/>
          <w:szCs w:val="23"/>
          <w:lang w:val="ro-RO"/>
        </w:rPr>
        <w:t>Dispariţia</w:t>
      </w:r>
      <w:r w:rsidRPr="00B522CC">
        <w:rPr>
          <w:sz w:val="23"/>
          <w:szCs w:val="23"/>
          <w:lang w:val="ro-RO"/>
        </w:rPr>
        <w:t>” de care vorbeşte Sfântul Apostol Pavel, este de fapt împlinire şi avansare către o stare mai bună</w:t>
      </w:r>
      <w:r w:rsidRPr="00B522CC">
        <w:rPr>
          <w:rStyle w:val="FootnoteReference"/>
          <w:sz w:val="23"/>
          <w:szCs w:val="23"/>
          <w:lang w:val="ro-RO"/>
        </w:rPr>
        <w:footnoteReference w:id="68"/>
      </w:r>
      <w:r w:rsidRPr="00B522CC">
        <w:rPr>
          <w:sz w:val="23"/>
          <w:szCs w:val="23"/>
          <w:lang w:val="ro-RO"/>
        </w:rPr>
        <w:t>.</w:t>
      </w:r>
    </w:p>
    <w:p w:rsidR="00EE6A7E" w:rsidRPr="00B522CC" w:rsidRDefault="00EE6A7E" w:rsidP="00EE6A7E">
      <w:pPr>
        <w:pStyle w:val="BodyText2"/>
        <w:spacing w:after="0" w:line="240" w:lineRule="auto"/>
        <w:ind w:firstLine="851"/>
        <w:jc w:val="both"/>
        <w:rPr>
          <w:sz w:val="23"/>
          <w:szCs w:val="23"/>
          <w:lang w:val="ro-RO"/>
        </w:rPr>
      </w:pPr>
      <w:r w:rsidRPr="00B522CC">
        <w:rPr>
          <w:sz w:val="23"/>
          <w:szCs w:val="23"/>
          <w:lang w:val="ro-RO"/>
        </w:rPr>
        <w:t xml:space="preserve">Sfântul Ioan Gură de Aur scria: „Să se cerceteze înţelepciunea lui Pavel căci el nu spune </w:t>
      </w:r>
      <w:r w:rsidRPr="00B522CC">
        <w:rPr>
          <w:i/>
          <w:sz w:val="23"/>
          <w:szCs w:val="23"/>
          <w:lang w:val="ro-RO"/>
        </w:rPr>
        <w:t>cunoaştem o parte</w:t>
      </w:r>
      <w:r w:rsidRPr="00B522CC">
        <w:rPr>
          <w:sz w:val="23"/>
          <w:szCs w:val="23"/>
          <w:lang w:val="ro-RO"/>
        </w:rPr>
        <w:t xml:space="preserve">, ci </w:t>
      </w:r>
      <w:r w:rsidRPr="00B522CC">
        <w:rPr>
          <w:i/>
          <w:sz w:val="23"/>
          <w:szCs w:val="23"/>
          <w:lang w:val="ro-RO"/>
        </w:rPr>
        <w:t>cunoaştem în parte</w:t>
      </w:r>
      <w:r w:rsidRPr="00B522CC">
        <w:rPr>
          <w:b/>
          <w:sz w:val="23"/>
          <w:szCs w:val="23"/>
          <w:lang w:val="ro-RO"/>
        </w:rPr>
        <w:t xml:space="preserve"> </w:t>
      </w:r>
      <w:r w:rsidRPr="00B522CC">
        <w:rPr>
          <w:sz w:val="23"/>
          <w:szCs w:val="23"/>
          <w:lang w:val="ro-RO"/>
        </w:rPr>
        <w:t xml:space="preserve">(s.n.), adică cunoaştem o parte a unei părţi. Probabil că doriţi să ştiţi şi cât de mare este partea de cunoaştere pe care o avem, şi cât de mare cea care ne-a rămas de dobândit, precum şi dacă deţinem partea mai mare ori pe cea mai mică. Pentru a pricepe </w:t>
      </w:r>
      <w:r w:rsidRPr="00B522CC">
        <w:rPr>
          <w:sz w:val="23"/>
          <w:szCs w:val="23"/>
          <w:lang w:val="ro-RO"/>
        </w:rPr>
        <w:lastRenderedPageBreak/>
        <w:t xml:space="preserve">că tu ai partea cea mai mică, ba încă nici măcar mai mică, ci a suta ori a mia parte din cunoaştere, ia aminte la cele ce urmează. Deoarece după ce a spus </w:t>
      </w:r>
      <w:r w:rsidRPr="00B522CC">
        <w:rPr>
          <w:i/>
          <w:sz w:val="23"/>
          <w:szCs w:val="23"/>
          <w:lang w:val="ro-RO"/>
        </w:rPr>
        <w:t>cunoaştem în parte</w:t>
      </w:r>
      <w:r w:rsidRPr="00B522CC">
        <w:rPr>
          <w:b/>
          <w:sz w:val="23"/>
          <w:szCs w:val="23"/>
          <w:lang w:val="ro-RO"/>
        </w:rPr>
        <w:t xml:space="preserve"> </w:t>
      </w:r>
      <w:r w:rsidRPr="00B522CC">
        <w:rPr>
          <w:sz w:val="23"/>
          <w:szCs w:val="23"/>
          <w:lang w:val="ro-RO"/>
        </w:rPr>
        <w:t xml:space="preserve">(s.n.), dorind să explice şi cât de mare parte cunoaştem şi că acum deţinem cât se poate de puţin, a adăugat </w:t>
      </w:r>
      <w:r w:rsidRPr="00B522CC">
        <w:rPr>
          <w:i/>
          <w:sz w:val="23"/>
          <w:szCs w:val="23"/>
          <w:lang w:val="ro-RO"/>
        </w:rPr>
        <w:t>când eram prunc, vorbeam ca un prunc, simţeam ca un prunc, judecam ca un prunc, dar când m-am făcut bărbat am lepădat cele ale pruncului</w:t>
      </w:r>
      <w:r w:rsidRPr="00B522CC">
        <w:rPr>
          <w:sz w:val="23"/>
          <w:szCs w:val="23"/>
          <w:lang w:val="ro-RO"/>
        </w:rPr>
        <w:t xml:space="preserve"> (s.n) (1 Cor. 13, 11). Compară, aşadar, cunoaşterea prezentă cu starea de prunc, iar cunoaşterea viitoare cu starea de bărbat desăvârşit”</w:t>
      </w:r>
      <w:r w:rsidRPr="00B522CC">
        <w:rPr>
          <w:rStyle w:val="FootnoteReference"/>
          <w:sz w:val="23"/>
          <w:szCs w:val="23"/>
          <w:lang w:val="ro-RO"/>
        </w:rPr>
        <w:footnoteReference w:id="69"/>
      </w:r>
      <w:r w:rsidRPr="00B522CC">
        <w:rPr>
          <w:sz w:val="23"/>
          <w:szCs w:val="23"/>
          <w:lang w:val="ro-RO"/>
        </w:rPr>
        <w:t>.</w:t>
      </w:r>
    </w:p>
    <w:p w:rsidR="00EE6A7E" w:rsidRPr="00B522CC" w:rsidRDefault="00EE6A7E" w:rsidP="00EE6A7E">
      <w:pPr>
        <w:pStyle w:val="BodyText2"/>
        <w:spacing w:after="0" w:line="240" w:lineRule="auto"/>
        <w:ind w:firstLine="851"/>
        <w:jc w:val="both"/>
        <w:rPr>
          <w:sz w:val="23"/>
          <w:szCs w:val="23"/>
          <w:lang w:val="ro-RO"/>
        </w:rPr>
      </w:pPr>
      <w:r w:rsidRPr="00B522CC">
        <w:rPr>
          <w:sz w:val="23"/>
          <w:szCs w:val="23"/>
          <w:lang w:val="ro-RO"/>
        </w:rPr>
        <w:t>Vederea parţială, ca prin oglindă, poate să semnifice, potrivit lui Vladimir Lossky, manifestarea lui Dumnezeu în creaţia Sa</w:t>
      </w:r>
      <w:r w:rsidRPr="00B522CC">
        <w:rPr>
          <w:rStyle w:val="FootnoteReference"/>
          <w:sz w:val="23"/>
          <w:szCs w:val="23"/>
          <w:lang w:val="ro-RO"/>
        </w:rPr>
        <w:footnoteReference w:id="70"/>
      </w:r>
      <w:r w:rsidRPr="00B522CC">
        <w:rPr>
          <w:sz w:val="23"/>
          <w:szCs w:val="23"/>
          <w:lang w:val="ro-RO"/>
        </w:rPr>
        <w:t xml:space="preserve">, accesibilă şi neamurilor, acea </w:t>
      </w:r>
      <w:r w:rsidRPr="00B522CC">
        <w:rPr>
          <w:i/>
          <w:sz w:val="23"/>
          <w:szCs w:val="23"/>
          <w:lang w:val="ro-RO"/>
        </w:rPr>
        <w:t>„prezenţă nevăzută a lui Dumnezeu”</w:t>
      </w:r>
      <w:r w:rsidRPr="00B522CC">
        <w:rPr>
          <w:sz w:val="23"/>
          <w:szCs w:val="23"/>
          <w:lang w:val="ro-RO"/>
        </w:rPr>
        <w:t xml:space="preserve"> care poate fi percepută prin contemplarea lucrurilor create</w:t>
      </w:r>
      <w:r w:rsidRPr="00B522CC">
        <w:rPr>
          <w:b/>
          <w:sz w:val="23"/>
          <w:szCs w:val="23"/>
          <w:lang w:val="ro-RO"/>
        </w:rPr>
        <w:t xml:space="preserve"> </w:t>
      </w:r>
      <w:r w:rsidRPr="00B522CC">
        <w:rPr>
          <w:sz w:val="23"/>
          <w:szCs w:val="23"/>
          <w:lang w:val="ro-RO"/>
        </w:rPr>
        <w:t>(Rm. 1, 19-20).</w:t>
      </w:r>
      <w:r w:rsidRPr="00B522CC">
        <w:rPr>
          <w:rStyle w:val="FootnoteCharacters"/>
          <w:sz w:val="23"/>
          <w:szCs w:val="23"/>
          <w:lang w:val="ro-RO"/>
        </w:rPr>
        <w:t xml:space="preserve"> </w:t>
      </w:r>
      <w:r w:rsidRPr="00B522CC">
        <w:rPr>
          <w:sz w:val="23"/>
          <w:szCs w:val="23"/>
          <w:lang w:val="ro-RO"/>
        </w:rPr>
        <w:t>Despre această cunoaştere nedesăvârşită, pe care o dobândim prin contemplare, părintele Stăniloae scria:</w:t>
      </w:r>
    </w:p>
    <w:p w:rsidR="00EE6A7E" w:rsidRPr="00B522CC" w:rsidRDefault="00EE6A7E" w:rsidP="00EE6A7E">
      <w:pPr>
        <w:pStyle w:val="BodyText2"/>
        <w:spacing w:after="0" w:line="240" w:lineRule="auto"/>
        <w:ind w:firstLine="851"/>
        <w:jc w:val="both"/>
        <w:rPr>
          <w:sz w:val="23"/>
          <w:szCs w:val="23"/>
          <w:lang w:val="ro-RO"/>
        </w:rPr>
      </w:pPr>
      <w:r w:rsidRPr="00B522CC">
        <w:rPr>
          <w:sz w:val="23"/>
          <w:szCs w:val="23"/>
          <w:lang w:val="ro-RO"/>
        </w:rPr>
        <w:t>„De la raţiunile oglindite în mod imperfect în lucruri se deschide în noi perspectiva de a urca pe firul energiilor divine până la raţiunile din Dumnezeu. Dar pe acestea niciodată nu le putem mărgini în concepte. Evidenţa adevărului nu poate fi deci cuprinsă în marginile conceptelor şi ale judecăţilor raţionale, pe de o parte, pentru că încă nu e destul de clară, pe de alta, pentru că ea e virtual infinită şi simţim în toată clipa lipsa de hotar”</w:t>
      </w:r>
      <w:r w:rsidRPr="00B522CC">
        <w:rPr>
          <w:rStyle w:val="FootnoteReference"/>
          <w:sz w:val="23"/>
          <w:szCs w:val="23"/>
          <w:lang w:val="ro-RO"/>
        </w:rPr>
        <w:footnoteReference w:id="71"/>
      </w:r>
      <w:r w:rsidRPr="00B522CC">
        <w:rPr>
          <w:b/>
          <w:sz w:val="23"/>
          <w:szCs w:val="23"/>
          <w:lang w:val="ro-RO"/>
        </w:rPr>
        <w:t xml:space="preserve"> </w:t>
      </w:r>
      <w:r w:rsidRPr="00B522CC">
        <w:rPr>
          <w:sz w:val="23"/>
          <w:szCs w:val="23"/>
          <w:lang w:val="ro-RO"/>
        </w:rPr>
        <w:t>sau mai clar: „contemplaţia este un raţionament sau o serie de raţionamente plus un element necuprins în ele, dar prilejuit de ele, iar raţionamentele sunt o contemplaţie desfăşurată până la un punct în ceea ce are ea ca sensuri posibile de definit”</w:t>
      </w:r>
      <w:r w:rsidRPr="00B522CC">
        <w:rPr>
          <w:rStyle w:val="FootnoteReference"/>
          <w:sz w:val="23"/>
          <w:szCs w:val="23"/>
          <w:lang w:val="ro-RO"/>
        </w:rPr>
        <w:footnoteReference w:id="72"/>
      </w:r>
      <w:r w:rsidRPr="00B522CC">
        <w:rPr>
          <w:sz w:val="23"/>
          <w:szCs w:val="23"/>
          <w:lang w:val="ro-RO"/>
        </w:rPr>
        <w:t>.</w:t>
      </w:r>
    </w:p>
    <w:p w:rsidR="00EE6A7E" w:rsidRPr="00B522CC" w:rsidRDefault="00EE6A7E" w:rsidP="00EE6A7E">
      <w:pPr>
        <w:pStyle w:val="BodyText2"/>
        <w:spacing w:after="0" w:line="240" w:lineRule="auto"/>
        <w:ind w:firstLine="851"/>
        <w:jc w:val="both"/>
        <w:rPr>
          <w:sz w:val="23"/>
          <w:szCs w:val="23"/>
          <w:lang w:val="ro-RO"/>
        </w:rPr>
      </w:pPr>
      <w:r w:rsidRPr="00B522CC">
        <w:rPr>
          <w:sz w:val="23"/>
          <w:szCs w:val="23"/>
          <w:lang w:val="ro-RO"/>
        </w:rPr>
        <w:t>Din aceste texte reiese clar că dorinţa omului nu este împlinită cu această cunoaştere a raţiunilor din creaţie, ci omul simte că această experiere a lui Dumnezeu este slabă ca intensitate şi doreşte o apropiere mai profundă de El. Fiinţa contemplativului intuieşte că „cele cauzate preeexistă în cauze în mod prisositor cum zice marele Dionisie”. Tot în acest sens, Cuviosul Teognost afirma: „Când mintea adulmecă prin contemplarea făpturilor urmele Stăpânului şi caută cu dor fierbinte şi cu însetare să afle şi să vadă pe Cel nevăzut sau contemplă întunericul care-L ascunde, se întoarce iarăşi la sine, retrăgându-se cu cel mai mare respect şi cu evlavie, îndestulându-se cu atât. Dar are bună nădejde că va primi pe Cel dorit atunci când, topindu-se cele văzute (manifestările) şi închipuirea în umbre, ca prin oglindă şi ghicituri, va veni pentru de-a pururi vederea faţă către faţă”</w:t>
      </w:r>
      <w:r w:rsidRPr="00B522CC">
        <w:rPr>
          <w:rStyle w:val="FootnoteReference"/>
          <w:sz w:val="23"/>
          <w:szCs w:val="23"/>
          <w:lang w:val="ro-RO"/>
        </w:rPr>
        <w:footnoteReference w:id="73"/>
      </w:r>
      <w:r w:rsidRPr="00B522CC">
        <w:rPr>
          <w:sz w:val="23"/>
          <w:szCs w:val="23"/>
          <w:lang w:val="ro-RO"/>
        </w:rPr>
        <w:t>.</w:t>
      </w:r>
    </w:p>
    <w:p w:rsidR="00EE6A7E" w:rsidRPr="00B522CC" w:rsidRDefault="00EE6A7E" w:rsidP="00EE6A7E">
      <w:pPr>
        <w:pStyle w:val="BodyText2"/>
        <w:spacing w:after="0" w:line="240" w:lineRule="auto"/>
        <w:ind w:firstLine="851"/>
        <w:jc w:val="both"/>
        <w:rPr>
          <w:sz w:val="23"/>
          <w:szCs w:val="23"/>
          <w:lang w:val="ro-RO"/>
        </w:rPr>
      </w:pPr>
      <w:r w:rsidRPr="00B522CC">
        <w:rPr>
          <w:sz w:val="23"/>
          <w:szCs w:val="23"/>
          <w:lang w:val="ro-RO"/>
        </w:rPr>
        <w:t>Cu privire la acest mod nedeplin de cunoaştere, şi apoi la pregustarea în această lume a strălucirii Sorelui-Hristos, stareţul Sofronie, ucenicul Cuviosului Siluan Atonitul scria: „Mie mi-a fost dat să trăiesc câteva genuri de lumină şi de lumini: lumina inspiraţiei artistice, provocată de frumuseţea lumii văzute; lumina contemplaţiei filosofice, care trece în experienţa mistică (…), dar la vârsta matură, când m-am întors la Hristos, ca la un Dumnezeu desăvârşit, mi-a strălucit Lumina cea fără de început. Această minunată Lumină, în măsura în care după bunăvoinţa de Sus mi-a fost dat s-o cunosc, le-a întunecat pe toate celelalte, întocmai cum soarele ce răsare nu permite să se vadă nici chiar stelele cele mai luminoase”</w:t>
      </w:r>
      <w:r w:rsidRPr="00B522CC">
        <w:rPr>
          <w:rStyle w:val="FootnoteReference"/>
          <w:sz w:val="23"/>
          <w:szCs w:val="23"/>
          <w:lang w:val="ro-RO"/>
        </w:rPr>
        <w:footnoteReference w:id="74"/>
      </w:r>
      <w:r w:rsidRPr="00B522CC">
        <w:rPr>
          <w:sz w:val="23"/>
          <w:szCs w:val="23"/>
          <w:lang w:val="ro-RO"/>
        </w:rPr>
        <w:t>.</w:t>
      </w:r>
    </w:p>
    <w:p w:rsidR="00EE6A7E" w:rsidRPr="00B522CC" w:rsidRDefault="00EE6A7E" w:rsidP="00EE6A7E">
      <w:pPr>
        <w:pStyle w:val="BodyText2"/>
        <w:spacing w:after="0" w:line="240" w:lineRule="auto"/>
        <w:ind w:firstLine="851"/>
        <w:jc w:val="both"/>
        <w:rPr>
          <w:sz w:val="23"/>
          <w:szCs w:val="23"/>
          <w:lang w:val="ro-RO"/>
        </w:rPr>
      </w:pPr>
    </w:p>
    <w:p w:rsidR="00EE6A7E" w:rsidRPr="00B522CC" w:rsidRDefault="00EE6A7E" w:rsidP="00EE6A7E">
      <w:pPr>
        <w:pStyle w:val="Heading4"/>
        <w:numPr>
          <w:ilvl w:val="0"/>
          <w:numId w:val="0"/>
        </w:numPr>
        <w:spacing w:before="0" w:after="0"/>
        <w:ind w:firstLine="851"/>
        <w:jc w:val="both"/>
        <w:rPr>
          <w:bCs w:val="0"/>
          <w:i/>
          <w:sz w:val="23"/>
          <w:szCs w:val="23"/>
        </w:rPr>
      </w:pPr>
      <w:r w:rsidRPr="00B522CC">
        <w:rPr>
          <w:bCs w:val="0"/>
          <w:i/>
          <w:sz w:val="23"/>
          <w:szCs w:val="23"/>
        </w:rPr>
        <w:t>B. Theognosia mistic-sacramentală în ambianţa ecclesială</w:t>
      </w:r>
    </w:p>
    <w:p w:rsidR="00EE6A7E" w:rsidRPr="00B522CC" w:rsidRDefault="00EE6A7E" w:rsidP="00EE6A7E">
      <w:pPr>
        <w:ind w:left="1701"/>
        <w:jc w:val="right"/>
        <w:rPr>
          <w:rFonts w:cs="Times New Roman"/>
          <w:b/>
          <w:sz w:val="22"/>
          <w:szCs w:val="22"/>
          <w:lang w:val="ro-RO"/>
        </w:rPr>
      </w:pPr>
    </w:p>
    <w:p w:rsidR="00EE6A7E" w:rsidRPr="00B522CC" w:rsidRDefault="00EE6A7E" w:rsidP="00EE6A7E">
      <w:pPr>
        <w:ind w:left="1701"/>
        <w:jc w:val="right"/>
        <w:rPr>
          <w:rFonts w:cs="Times New Roman"/>
          <w:sz w:val="22"/>
          <w:szCs w:val="22"/>
          <w:lang w:val="ro-RO"/>
        </w:rPr>
      </w:pPr>
      <w:r w:rsidRPr="00B522CC">
        <w:rPr>
          <w:rFonts w:cs="Times New Roman"/>
          <w:b/>
          <w:sz w:val="22"/>
          <w:szCs w:val="22"/>
          <w:lang w:val="ro-RO"/>
        </w:rPr>
        <w:t>„</w:t>
      </w:r>
      <w:r w:rsidRPr="00B522CC">
        <w:rPr>
          <w:rFonts w:cs="Times New Roman"/>
          <w:i/>
          <w:sz w:val="22"/>
          <w:szCs w:val="22"/>
          <w:lang w:val="ro-RO"/>
        </w:rPr>
        <w:t>Dă-mi mie haină luminoasă, Cel ce Te îmbraci cu lumina ca şi cu o haină!”</w:t>
      </w:r>
      <w:r w:rsidRPr="00B522CC">
        <w:rPr>
          <w:rStyle w:val="FootnoteReference"/>
          <w:rFonts w:cs="Times New Roman"/>
          <w:i/>
          <w:sz w:val="22"/>
          <w:szCs w:val="22"/>
          <w:lang w:val="ro-RO"/>
        </w:rPr>
        <w:footnoteReference w:id="75"/>
      </w:r>
      <w:r w:rsidRPr="00B522CC">
        <w:rPr>
          <w:rFonts w:cs="Times New Roman"/>
          <w:sz w:val="22"/>
          <w:szCs w:val="22"/>
          <w:lang w:val="ro-RO"/>
        </w:rPr>
        <w:t>.</w:t>
      </w:r>
    </w:p>
    <w:p w:rsidR="00EE6A7E" w:rsidRPr="00B522CC" w:rsidRDefault="00EE6A7E" w:rsidP="00EE6A7E">
      <w:pPr>
        <w:jc w:val="right"/>
        <w:rPr>
          <w:rFonts w:cs="Times New Roman"/>
          <w:sz w:val="22"/>
          <w:szCs w:val="22"/>
          <w:lang w:val="ro-RO"/>
        </w:rPr>
      </w:pPr>
      <w:r w:rsidRPr="00B522CC">
        <w:rPr>
          <w:rFonts w:cs="Times New Roman"/>
          <w:sz w:val="22"/>
          <w:szCs w:val="22"/>
          <w:lang w:val="ro-RO"/>
        </w:rPr>
        <w:t>„</w:t>
      </w:r>
      <w:r w:rsidRPr="00B522CC">
        <w:rPr>
          <w:rFonts w:cs="Times New Roman"/>
          <w:i/>
          <w:sz w:val="22"/>
          <w:szCs w:val="22"/>
          <w:lang w:val="ro-RO"/>
        </w:rPr>
        <w:t>Am văzut lumina cea adevărată (...)</w:t>
      </w:r>
      <w:r w:rsidRPr="00B522CC">
        <w:rPr>
          <w:rFonts w:cs="Times New Roman"/>
          <w:sz w:val="22"/>
          <w:szCs w:val="22"/>
          <w:lang w:val="ro-RO"/>
        </w:rPr>
        <w:t>”</w:t>
      </w:r>
      <w:r w:rsidRPr="00B522CC">
        <w:rPr>
          <w:rStyle w:val="FootnoteReference"/>
          <w:rFonts w:cs="Times New Roman"/>
          <w:sz w:val="22"/>
          <w:szCs w:val="22"/>
          <w:lang w:val="ro-RO"/>
        </w:rPr>
        <w:footnoteReference w:id="76"/>
      </w:r>
      <w:r w:rsidRPr="00B522CC">
        <w:rPr>
          <w:rFonts w:cs="Times New Roman"/>
          <w:sz w:val="22"/>
          <w:szCs w:val="22"/>
          <w:lang w:val="ro-RO"/>
        </w:rPr>
        <w:t>.</w:t>
      </w:r>
    </w:p>
    <w:p w:rsidR="00EE6A7E" w:rsidRPr="00B522CC" w:rsidRDefault="00EE6A7E" w:rsidP="00EE6A7E">
      <w:pPr>
        <w:ind w:firstLine="851"/>
        <w:jc w:val="both"/>
        <w:rPr>
          <w:rFonts w:cs="Times New Roman"/>
          <w:sz w:val="22"/>
          <w:szCs w:val="22"/>
          <w:lang w:val="ro-RO"/>
        </w:rPr>
      </w:pP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lastRenderedPageBreak/>
        <w:t>Theognosia nu se poate dobândi din înţelepciunea omenească, fără lucrarea sfinţitoare a Duhului Sfânt, Dumnezeu Sfinţitorul:</w:t>
      </w:r>
    </w:p>
    <w:p w:rsidR="00EE6A7E" w:rsidRPr="00B522CC" w:rsidRDefault="00EE6A7E" w:rsidP="00EE6A7E">
      <w:pPr>
        <w:ind w:firstLine="851"/>
        <w:jc w:val="both"/>
        <w:rPr>
          <w:rFonts w:cs="Times New Roman"/>
          <w:i/>
          <w:sz w:val="23"/>
          <w:szCs w:val="23"/>
          <w:lang w:val="ro-RO"/>
        </w:rPr>
      </w:pPr>
      <w:r w:rsidRPr="00B522CC">
        <w:rPr>
          <w:rFonts w:cs="Times New Roman"/>
          <w:sz w:val="23"/>
          <w:szCs w:val="23"/>
          <w:lang w:val="ro-RO"/>
        </w:rPr>
        <w:t>„</w:t>
      </w:r>
      <w:r w:rsidRPr="00B522CC">
        <w:rPr>
          <w:rFonts w:cs="Times New Roman"/>
          <w:i/>
          <w:sz w:val="23"/>
          <w:szCs w:val="23"/>
          <w:lang w:val="ro-RO"/>
        </w:rPr>
        <w:t>Iar noi n-am primit duhul lumii, ci Duhul cel de la Dumnezeu, ca să cunoaştem cele dăruite nouă de Dumnezeu; pe care le şi grăim, dar nu în cuvinte învăţate din înţelepciunea omenească, ci în cuvinte învăţate de la Duhul Sfânt, lămurind lucruri duhovniceşti oamenilor duhovniceşti-</w:t>
      </w:r>
      <w:r w:rsidRPr="00B522CC">
        <w:rPr>
          <w:rFonts w:cs="Times New Roman"/>
          <w:sz w:val="23"/>
          <w:szCs w:val="23"/>
          <w:lang w:val="ro-RO"/>
        </w:rPr>
        <w:t xml:space="preserve"> pneumatikois pneumatika synkrinontes</w:t>
      </w:r>
      <w:r w:rsidRPr="00B522CC">
        <w:rPr>
          <w:rFonts w:cs="Times New Roman"/>
          <w:i/>
          <w:sz w:val="23"/>
          <w:szCs w:val="23"/>
          <w:lang w:val="ro-RO"/>
        </w:rPr>
        <w:t xml:space="preserve">” </w:t>
      </w:r>
      <w:r w:rsidRPr="00B522CC">
        <w:rPr>
          <w:rFonts w:cs="Times New Roman"/>
          <w:sz w:val="23"/>
          <w:szCs w:val="23"/>
          <w:lang w:val="ro-RO"/>
        </w:rPr>
        <w:t>(1 Co. 2, 12-13).</w:t>
      </w:r>
    </w:p>
    <w:p w:rsidR="00EE6A7E" w:rsidRPr="00B522CC" w:rsidRDefault="00EE6A7E" w:rsidP="00EE6A7E">
      <w:pPr>
        <w:widowControl w:val="0"/>
        <w:ind w:firstLine="851"/>
        <w:jc w:val="both"/>
        <w:rPr>
          <w:rFonts w:cs="Times New Roman"/>
          <w:sz w:val="23"/>
          <w:szCs w:val="23"/>
          <w:lang w:val="ro-RO"/>
        </w:rPr>
      </w:pPr>
      <w:r w:rsidRPr="00B522CC">
        <w:rPr>
          <w:rFonts w:cs="Times New Roman"/>
          <w:sz w:val="23"/>
          <w:szCs w:val="23"/>
          <w:lang w:val="ro-RO"/>
        </w:rPr>
        <w:t>Înfierea primită prin Sfintele Taine numite „de iniţiere”: Botez, Mirungere şi Euharistie, în ambianţa Bisericii, se actualizează „</w:t>
      </w:r>
      <w:r w:rsidRPr="00B522CC">
        <w:rPr>
          <w:rFonts w:cs="Times New Roman"/>
          <w:i/>
          <w:sz w:val="23"/>
          <w:szCs w:val="23"/>
          <w:lang w:val="ro-RO"/>
        </w:rPr>
        <w:t>iar şi iar</w:t>
      </w:r>
      <w:r w:rsidRPr="00B522CC">
        <w:rPr>
          <w:rFonts w:cs="Times New Roman"/>
          <w:sz w:val="23"/>
          <w:szCs w:val="23"/>
          <w:lang w:val="ro-RO"/>
        </w:rPr>
        <w:t>” în aceeaşi ambianţă sfântă şi sfinţitoare. Biserica este mediul, „laboratorul” în care Duhul Sfânt ne con</w:t>
      </w:r>
      <w:r w:rsidRPr="00B522CC">
        <w:rPr>
          <w:rFonts w:cs="Times New Roman"/>
          <w:i/>
          <w:sz w:val="23"/>
          <w:szCs w:val="23"/>
          <w:lang w:val="ro-RO"/>
        </w:rPr>
        <w:t xml:space="preserve">formează </w:t>
      </w:r>
      <w:r w:rsidRPr="00B522CC">
        <w:rPr>
          <w:rFonts w:cs="Times New Roman"/>
          <w:sz w:val="23"/>
          <w:szCs w:val="23"/>
          <w:lang w:val="ro-RO"/>
        </w:rPr>
        <w:t>tot mai mult lui Hristos, unii creştini ajungând să spună împreună cu Sfântul Apostol Pavel: „</w:t>
      </w:r>
      <w:r w:rsidRPr="00B522CC">
        <w:rPr>
          <w:rFonts w:cs="Times New Roman"/>
          <w:i/>
          <w:sz w:val="23"/>
          <w:szCs w:val="23"/>
          <w:lang w:val="ro-RO"/>
        </w:rPr>
        <w:t>Noi, însă, avem gândul [mintea] lui Hristos-</w:t>
      </w:r>
      <w:r w:rsidRPr="00B522CC">
        <w:rPr>
          <w:rFonts w:cs="Times New Roman"/>
          <w:sz w:val="23"/>
          <w:szCs w:val="23"/>
          <w:lang w:val="ro-RO"/>
        </w:rPr>
        <w:t xml:space="preserve"> hemeis de noun Xristou echomen” (1 Co. 2, 16), cu alte cuvinte s-au con</w:t>
      </w:r>
      <w:r w:rsidRPr="00B522CC">
        <w:rPr>
          <w:rFonts w:cs="Times New Roman"/>
          <w:i/>
          <w:sz w:val="23"/>
          <w:szCs w:val="23"/>
          <w:lang w:val="ro-RO"/>
        </w:rPr>
        <w:t xml:space="preserve">format </w:t>
      </w:r>
      <w:r w:rsidRPr="00B522CC">
        <w:rPr>
          <w:rFonts w:cs="Times New Roman"/>
          <w:sz w:val="23"/>
          <w:szCs w:val="23"/>
          <w:lang w:val="ro-RO"/>
        </w:rPr>
        <w:t>modului de a fi, de a gândi al lui Hristos. Dumnezeu este comuniune de Persoane, prin urmare o cunoaştere dobândită în afara unei comuniuni de iubire nu poate fi o cunoaştere veritabilă. Cunoaşterea lui Dumnezeu se realizează prin asemănarea cu El, prin îndumnezeirea datorată harului prezenţei lui Dumnezeu, primit prin Sfintele Taine în ambianţa Bisericii, şi efortului etic-ascetic propriu.</w:t>
      </w:r>
    </w:p>
    <w:p w:rsidR="00EE6A7E" w:rsidRPr="00B522CC" w:rsidRDefault="00EE6A7E" w:rsidP="00EE6A7E">
      <w:pPr>
        <w:widowControl w:val="0"/>
        <w:ind w:firstLine="851"/>
        <w:jc w:val="both"/>
        <w:rPr>
          <w:rFonts w:cs="Times New Roman"/>
          <w:sz w:val="23"/>
          <w:szCs w:val="23"/>
          <w:lang w:val="ro-RO"/>
        </w:rPr>
      </w:pPr>
      <w:r w:rsidRPr="00B522CC">
        <w:rPr>
          <w:rFonts w:cs="Times New Roman"/>
          <w:sz w:val="23"/>
          <w:szCs w:val="23"/>
          <w:lang w:val="ro-RO"/>
        </w:rPr>
        <w:t>Îndumnezeirea omului este sinonimă cu înfierea sa de către Dumnezeu</w:t>
      </w:r>
      <w:r w:rsidRPr="00B522CC">
        <w:rPr>
          <w:rStyle w:val="FootnoteReference"/>
          <w:rFonts w:cs="Times New Roman"/>
          <w:sz w:val="23"/>
          <w:szCs w:val="23"/>
          <w:lang w:val="ro-RO"/>
        </w:rPr>
        <w:footnoteReference w:id="77"/>
      </w:r>
      <w:r w:rsidRPr="00B522CC">
        <w:rPr>
          <w:rFonts w:cs="Times New Roman"/>
          <w:sz w:val="23"/>
          <w:szCs w:val="23"/>
          <w:lang w:val="ro-RO"/>
        </w:rPr>
        <w:t xml:space="preserve">. Consecinţă a Întrupării, </w:t>
      </w:r>
      <w:r w:rsidRPr="00B522CC">
        <w:rPr>
          <w:rFonts w:cs="Times New Roman"/>
          <w:i/>
          <w:sz w:val="23"/>
          <w:szCs w:val="23"/>
          <w:lang w:val="ro-RO"/>
        </w:rPr>
        <w:t>hyothesia</w:t>
      </w:r>
      <w:r w:rsidRPr="00B522CC">
        <w:rPr>
          <w:rFonts w:cs="Times New Roman"/>
          <w:sz w:val="23"/>
          <w:szCs w:val="23"/>
          <w:lang w:val="ro-RO"/>
        </w:rPr>
        <w:t xml:space="preserve"> ca termen apare numai în epistolele pauline (Gal. 4, 5; Rm. 8, 15, 23; 9, 4; Efes. 1, 5)</w:t>
      </w:r>
      <w:r w:rsidRPr="00B522CC">
        <w:rPr>
          <w:rStyle w:val="FootnoteReference"/>
          <w:rFonts w:cs="Times New Roman"/>
          <w:sz w:val="23"/>
          <w:szCs w:val="23"/>
          <w:lang w:val="ro-RO"/>
        </w:rPr>
        <w:footnoteReference w:id="78"/>
      </w:r>
      <w:r w:rsidRPr="00B522CC">
        <w:rPr>
          <w:rFonts w:cs="Times New Roman"/>
          <w:sz w:val="23"/>
          <w:szCs w:val="23"/>
          <w:lang w:val="ro-RO"/>
        </w:rPr>
        <w:t>. În Vechiul Testament, poporul ales este numit prin metaforă „fiul” lui Iahve (Ieş. 4, 22; Deut. 14, 11; Ps. 72, 15; Is.</w:t>
      </w:r>
      <w:r w:rsidRPr="00B522CC">
        <w:rPr>
          <w:rFonts w:cs="Times New Roman"/>
          <w:i/>
          <w:sz w:val="23"/>
          <w:szCs w:val="23"/>
          <w:lang w:val="ro-RO"/>
        </w:rPr>
        <w:t xml:space="preserve"> </w:t>
      </w:r>
      <w:r w:rsidRPr="00B522CC">
        <w:rPr>
          <w:rFonts w:cs="Times New Roman"/>
          <w:sz w:val="23"/>
          <w:szCs w:val="23"/>
          <w:lang w:val="ro-RO"/>
        </w:rPr>
        <w:t>1, 2-4; 30, 1-9; 43, 6; 45, 11; 63, 8; Ier. 3, 14; 31, 9-20; Os.</w:t>
      </w:r>
      <w:r w:rsidRPr="00B522CC">
        <w:rPr>
          <w:rFonts w:cs="Times New Roman"/>
          <w:i/>
          <w:sz w:val="23"/>
          <w:szCs w:val="23"/>
          <w:lang w:val="ro-RO"/>
        </w:rPr>
        <w:t xml:space="preserve"> </w:t>
      </w:r>
      <w:r w:rsidRPr="00B522CC">
        <w:rPr>
          <w:rFonts w:cs="Times New Roman"/>
          <w:sz w:val="23"/>
          <w:szCs w:val="23"/>
          <w:lang w:val="ro-RO"/>
        </w:rPr>
        <w:t>2, 1; 11, 1). Chiar dacă există procedura înfierii atât la diferite popoare din antichitate, cât şi la poporul ales, aici nu este vorba despre o înfiere omenească. Procedurile legale de înfiere se aplică numai într-un mod cu totul vag şi îndepărtat la înfierea divină, nu e vorba despre o trecere dintr-o familie în alta, ci de o înălţare de la condiţia de rob la cea de fiu al lui Dumnezeu. Prin înfierea divină, fostul rob devine fiu, cel fără moştenire devine moştenitor</w:t>
      </w:r>
      <w:r w:rsidRPr="00B522CC">
        <w:rPr>
          <w:rStyle w:val="FootnoteReference"/>
          <w:rFonts w:cs="Times New Roman"/>
          <w:sz w:val="23"/>
          <w:szCs w:val="23"/>
          <w:lang w:val="ro-RO"/>
        </w:rPr>
        <w:footnoteReference w:id="79"/>
      </w:r>
      <w:r w:rsidRPr="00B522CC">
        <w:rPr>
          <w:rFonts w:cs="Times New Roman"/>
          <w:sz w:val="23"/>
          <w:szCs w:val="23"/>
          <w:lang w:val="ro-RO"/>
        </w:rPr>
        <w:t xml:space="preserve">. În multe locuri din Vechiul Testament Dumnezeu este numit Tată (Deut. 32, 6; II Rg. 7, 14; Ps. 67, 5; 88, 26; Ier. 3, 4, 19; 31, 9; Is. 63, 15, 16; 64, 7; Mal. 1, 6; 2,10; Tob. 13, 4; Is. Sir. 23, 1, 4; 51,10; Înţ. Sol. 14, 3). În aproape toate religiile lumii, Divinitatea primeşte şi numele de Tată sau Părinte. Dar în </w:t>
      </w:r>
      <w:r w:rsidRPr="00B522CC">
        <w:rPr>
          <w:rFonts w:cs="Times New Roman"/>
          <w:i/>
          <w:sz w:val="23"/>
          <w:szCs w:val="23"/>
          <w:lang w:val="ro-RO"/>
        </w:rPr>
        <w:t>Vechiul Testament</w:t>
      </w:r>
      <w:r w:rsidRPr="00B522CC">
        <w:rPr>
          <w:rFonts w:cs="Times New Roman"/>
          <w:sz w:val="23"/>
          <w:szCs w:val="23"/>
          <w:lang w:val="ro-RO"/>
        </w:rPr>
        <w:t xml:space="preserve"> găsim numai două exemple unde credinciosul I se adresează lui Dumnezeu în rugăciune numindu-L „Părinte” (Înţ. Sol. 14, 3; Is. Sir. 23, 1, 4). În iudaismul palestinian apar invocări cu titlul colectiv: </w:t>
      </w:r>
      <w:r w:rsidRPr="00B522CC">
        <w:rPr>
          <w:rFonts w:cs="Times New Roman"/>
          <w:i/>
          <w:sz w:val="23"/>
          <w:szCs w:val="23"/>
          <w:lang w:val="ro-RO"/>
        </w:rPr>
        <w:t>Abinu</w:t>
      </w:r>
      <w:r w:rsidRPr="00B522CC">
        <w:rPr>
          <w:rFonts w:cs="Times New Roman"/>
          <w:sz w:val="23"/>
          <w:szCs w:val="23"/>
          <w:lang w:val="ro-RO"/>
        </w:rPr>
        <w:t xml:space="preserve"> = Tatăl nostru; dar invocarea cu titlu individual: </w:t>
      </w:r>
      <w:r w:rsidRPr="00B522CC">
        <w:rPr>
          <w:rFonts w:cs="Times New Roman"/>
          <w:i/>
          <w:sz w:val="23"/>
          <w:szCs w:val="23"/>
          <w:lang w:val="ro-RO"/>
        </w:rPr>
        <w:t>Abi</w:t>
      </w:r>
      <w:r w:rsidRPr="00B522CC">
        <w:rPr>
          <w:rFonts w:cs="Times New Roman"/>
          <w:sz w:val="23"/>
          <w:szCs w:val="23"/>
          <w:lang w:val="ro-RO"/>
        </w:rPr>
        <w:t xml:space="preserve">, nu este atestată nicăieri. În Noul Testament, Dumnezeu este numit </w:t>
      </w:r>
      <w:r w:rsidRPr="00B522CC">
        <w:rPr>
          <w:rFonts w:cs="Times New Roman"/>
          <w:i/>
          <w:sz w:val="23"/>
          <w:szCs w:val="23"/>
          <w:lang w:val="ro-RO"/>
        </w:rPr>
        <w:t>Tată</w:t>
      </w:r>
      <w:r w:rsidRPr="00B522CC">
        <w:rPr>
          <w:rFonts w:cs="Times New Roman"/>
          <w:sz w:val="23"/>
          <w:szCs w:val="23"/>
          <w:lang w:val="ro-RO"/>
        </w:rPr>
        <w:t xml:space="preserve"> în mod frecvent, acest nume fiind echivalent cu acela de Dumnezeu. De trei ori apare în Noul Testament invocarea lui Dumnezeu cu numele de </w:t>
      </w:r>
      <w:r w:rsidRPr="00B522CC">
        <w:rPr>
          <w:rFonts w:cs="Times New Roman"/>
          <w:i/>
          <w:sz w:val="23"/>
          <w:szCs w:val="23"/>
          <w:lang w:val="ro-RO"/>
        </w:rPr>
        <w:t>Tată</w:t>
      </w:r>
      <w:r w:rsidRPr="00B522CC">
        <w:rPr>
          <w:rFonts w:cs="Times New Roman"/>
          <w:sz w:val="23"/>
          <w:szCs w:val="23"/>
          <w:lang w:val="ro-RO"/>
        </w:rPr>
        <w:t xml:space="preserve"> sau </w:t>
      </w:r>
      <w:r w:rsidRPr="00B522CC">
        <w:rPr>
          <w:rFonts w:cs="Times New Roman"/>
          <w:i/>
          <w:sz w:val="23"/>
          <w:szCs w:val="23"/>
          <w:lang w:val="ro-RO"/>
        </w:rPr>
        <w:t>Părinte</w:t>
      </w:r>
      <w:r w:rsidRPr="00B522CC">
        <w:rPr>
          <w:rFonts w:cs="Times New Roman"/>
          <w:sz w:val="23"/>
          <w:szCs w:val="23"/>
          <w:lang w:val="ro-RO"/>
        </w:rPr>
        <w:t xml:space="preserve"> în formulă aramaică: o dată în cuvintele Măntuitorului (Mc. 14, 36) şi de două ori în epistolele pauline (Gal. 4, 6 şi Rm. 8, 15). O serie întreagă de texte targumice şi rabinice dovedesc că termenul </w:t>
      </w:r>
      <w:r w:rsidRPr="00B522CC">
        <w:rPr>
          <w:rFonts w:cs="Times New Roman"/>
          <w:i/>
          <w:sz w:val="23"/>
          <w:szCs w:val="23"/>
          <w:lang w:val="ro-RO"/>
        </w:rPr>
        <w:t>avva</w:t>
      </w:r>
      <w:r w:rsidRPr="00B522CC">
        <w:rPr>
          <w:rFonts w:cs="Times New Roman"/>
          <w:sz w:val="23"/>
          <w:szCs w:val="23"/>
          <w:lang w:val="ro-RO"/>
        </w:rPr>
        <w:t xml:space="preserve"> era, în familiile iudaice, formula curentă de adresare a copiilor către tatăl lor, acest termen având sensul de „tată”, sau chiar de „tatăl meu”. Dar niciodată nu este folosit acest cuvânt, fără sufix şi fără nici un alt adaos, ca o invocaţie adresată lui Dumnezeu. </w:t>
      </w:r>
      <w:r w:rsidRPr="00B522CC">
        <w:rPr>
          <w:rFonts w:cs="Times New Roman"/>
          <w:i/>
          <w:sz w:val="23"/>
          <w:szCs w:val="23"/>
          <w:lang w:val="ro-RO"/>
        </w:rPr>
        <w:t>Avva</w:t>
      </w:r>
      <w:r w:rsidRPr="00B522CC">
        <w:rPr>
          <w:rFonts w:cs="Times New Roman"/>
          <w:sz w:val="23"/>
          <w:szCs w:val="23"/>
          <w:lang w:val="ro-RO"/>
        </w:rPr>
        <w:t xml:space="preserve"> apare pentru prima dată în acest sens în cuvântul Mântuitorului. Dintre Sfinţii Evanghelişti, numai Sfântul Marcu a păstrat termenul original, deşi studiul textelor pare să arate că Mântuitorul L-a invocat întotdeauna pe Dumnezeu cu titlul aramaic </w:t>
      </w:r>
      <w:r w:rsidRPr="00B522CC">
        <w:rPr>
          <w:rFonts w:cs="Times New Roman"/>
          <w:i/>
          <w:sz w:val="23"/>
          <w:szCs w:val="23"/>
          <w:lang w:val="ro-RO"/>
        </w:rPr>
        <w:t>Avva</w:t>
      </w:r>
      <w:r w:rsidRPr="00B522CC">
        <w:rPr>
          <w:rFonts w:cs="Times New Roman"/>
          <w:sz w:val="23"/>
          <w:szCs w:val="23"/>
          <w:lang w:val="ro-RO"/>
        </w:rPr>
        <w:t xml:space="preserve">. Cuvântul </w:t>
      </w:r>
      <w:r w:rsidRPr="00B522CC">
        <w:rPr>
          <w:rFonts w:cs="Times New Roman"/>
          <w:i/>
          <w:sz w:val="23"/>
          <w:szCs w:val="23"/>
          <w:lang w:val="ro-RO"/>
        </w:rPr>
        <w:t xml:space="preserve">Avva </w:t>
      </w:r>
      <w:r w:rsidRPr="00B522CC">
        <w:rPr>
          <w:rFonts w:cs="Times New Roman"/>
          <w:sz w:val="23"/>
          <w:szCs w:val="23"/>
          <w:lang w:val="ro-RO"/>
        </w:rPr>
        <w:t xml:space="preserve">reprezintă astfel în Noul Testament ceea ce J. Jeremias numeşte </w:t>
      </w:r>
      <w:r w:rsidRPr="00B522CC">
        <w:rPr>
          <w:rFonts w:cs="Times New Roman"/>
          <w:i/>
          <w:sz w:val="23"/>
          <w:szCs w:val="23"/>
          <w:lang w:val="ro-RO"/>
        </w:rPr>
        <w:t>ipssisima vox Jesu</w:t>
      </w:r>
      <w:r w:rsidRPr="00B522CC">
        <w:rPr>
          <w:rStyle w:val="FootnoteReference"/>
          <w:rFonts w:cs="Times New Roman"/>
          <w:i/>
          <w:sz w:val="23"/>
          <w:szCs w:val="23"/>
          <w:lang w:val="ro-RO"/>
        </w:rPr>
        <w:footnoteReference w:id="80"/>
      </w:r>
      <w:r w:rsidRPr="00B522CC">
        <w:rPr>
          <w:rFonts w:cs="Times New Roman"/>
          <w:i/>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 xml:space="preserve">Cuvântul </w:t>
      </w:r>
      <w:r w:rsidRPr="00B522CC">
        <w:rPr>
          <w:rFonts w:cs="Times New Roman"/>
          <w:i/>
          <w:sz w:val="23"/>
          <w:szCs w:val="23"/>
          <w:lang w:val="ro-RO"/>
        </w:rPr>
        <w:t xml:space="preserve">ho pater </w:t>
      </w:r>
      <w:r w:rsidRPr="00B522CC">
        <w:rPr>
          <w:rFonts w:cs="Times New Roman"/>
          <w:sz w:val="23"/>
          <w:szCs w:val="23"/>
          <w:lang w:val="ro-RO"/>
        </w:rPr>
        <w:t xml:space="preserve">a fost alăturat, probabil, termenului aramaic de către primii creştini, astfel încât expresia a intrat în limbajul liturgic sub forma </w:t>
      </w:r>
      <w:r w:rsidRPr="00B522CC">
        <w:rPr>
          <w:rFonts w:cs="Times New Roman"/>
          <w:i/>
          <w:sz w:val="23"/>
          <w:szCs w:val="23"/>
          <w:lang w:val="ro-RO"/>
        </w:rPr>
        <w:t xml:space="preserve">Abba ho Pater. </w:t>
      </w:r>
      <w:r w:rsidRPr="00B522CC">
        <w:rPr>
          <w:rFonts w:cs="Times New Roman"/>
          <w:sz w:val="23"/>
          <w:szCs w:val="23"/>
          <w:lang w:val="ro-RO"/>
        </w:rPr>
        <w:t xml:space="preserve">Forma de adresare </w:t>
      </w:r>
      <w:r w:rsidRPr="00B522CC">
        <w:rPr>
          <w:rFonts w:cs="Times New Roman"/>
          <w:i/>
          <w:sz w:val="23"/>
          <w:szCs w:val="23"/>
          <w:lang w:val="ro-RO"/>
        </w:rPr>
        <w:t>Avva</w:t>
      </w:r>
      <w:r w:rsidRPr="00B522CC">
        <w:rPr>
          <w:rFonts w:cs="Times New Roman"/>
          <w:sz w:val="23"/>
          <w:szCs w:val="23"/>
          <w:lang w:val="ro-RO"/>
        </w:rPr>
        <w:t xml:space="preserve">, pe care Sfântul Apostol Pavel o menţionează aici, ne dezvăluie profunzimea rugăciunii creştine către Tatăl. A-L numi pe Dumnezeu „Părinte” este un mare dar al înfierii divine. Nu oricine şi nu oricum se poate bucura de acest dar. Cel ce se uneşte cu Hristos prin Taina Sfântului </w:t>
      </w:r>
      <w:r w:rsidRPr="00B522CC">
        <w:rPr>
          <w:rFonts w:cs="Times New Roman"/>
          <w:sz w:val="23"/>
          <w:szCs w:val="23"/>
          <w:lang w:val="ro-RO"/>
        </w:rPr>
        <w:lastRenderedPageBreak/>
        <w:t xml:space="preserve">Botez participă la rugăciunea proprie a Lui către Tatăl. A participa la rugăciunea Mântuitorului înseamnă a participa la relaţia Sa cu Dumnezeu-Tatăl; a te adresa Tatălui, în unire cu Fiul, prin Duhul Sfânt, înseamnă a intra în relaţie cu cele trei Persoane dumnezeieşti. Rugăciunea </w:t>
      </w:r>
      <w:r w:rsidRPr="00B522CC">
        <w:rPr>
          <w:rFonts w:cs="Times New Roman"/>
          <w:i/>
          <w:sz w:val="23"/>
          <w:szCs w:val="23"/>
          <w:lang w:val="ro-RO"/>
        </w:rPr>
        <w:t>Avva, Părinte</w:t>
      </w:r>
      <w:r w:rsidRPr="00B522CC">
        <w:rPr>
          <w:rFonts w:cs="Times New Roman"/>
          <w:sz w:val="23"/>
          <w:szCs w:val="23"/>
          <w:lang w:val="ro-RO"/>
        </w:rPr>
        <w:t xml:space="preserve"> ne face să descoperim viaţa dumnezeiască, viaţa Sfintei Treimi în noi. De aceea credincioşii rostesc cu înfiorare această rugăciune, se păstrează deci o reticenţă, cerând lui Dumnezeu, la Sfânta Liturghie, ca îndrăzneala de a-L numi „Tată” să nu le fie socotită blasfemie. De aici un adevărat </w:t>
      </w:r>
      <w:r w:rsidRPr="00B522CC">
        <w:rPr>
          <w:rFonts w:cs="Times New Roman"/>
          <w:i/>
          <w:sz w:val="23"/>
          <w:szCs w:val="23"/>
          <w:lang w:val="ro-RO"/>
        </w:rPr>
        <w:t>crescendo</w:t>
      </w:r>
      <w:r w:rsidRPr="00B522CC">
        <w:rPr>
          <w:rFonts w:cs="Times New Roman"/>
          <w:sz w:val="23"/>
          <w:szCs w:val="23"/>
          <w:lang w:val="ro-RO"/>
        </w:rPr>
        <w:t xml:space="preserve"> până Îl numim pe Dumnezeu Tată: „</w:t>
      </w:r>
      <w:r w:rsidRPr="00B522CC">
        <w:rPr>
          <w:rFonts w:cs="Times New Roman"/>
          <w:i/>
          <w:sz w:val="23"/>
          <w:szCs w:val="23"/>
          <w:lang w:val="ro-RO"/>
        </w:rPr>
        <w:t>Şi ne învredniceşte pe noi, Stăpâne, cu îndrăznire, fără de osândă, să cutezăm a Te chema [numi] pe Tine, Dumnezeul cel ceresc, Tată…</w:t>
      </w:r>
      <w:r w:rsidRPr="00B522CC">
        <w:rPr>
          <w:rFonts w:cs="Times New Roman"/>
          <w:sz w:val="23"/>
          <w:szCs w:val="23"/>
          <w:lang w:val="ro-RO"/>
        </w:rPr>
        <w:t>”</w:t>
      </w:r>
      <w:r w:rsidRPr="00B522CC">
        <w:rPr>
          <w:rStyle w:val="FootnoteReference"/>
          <w:rFonts w:cs="Times New Roman"/>
          <w:sz w:val="23"/>
          <w:szCs w:val="23"/>
          <w:lang w:val="ro-RO"/>
        </w:rPr>
        <w:footnoteReference w:id="81"/>
      </w:r>
      <w:r w:rsidRPr="00B522CC">
        <w:rPr>
          <w:rFonts w:cs="Times New Roman"/>
          <w:i/>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Biserica îl aşază pe om în relaţie cu lumea, de-o manieră care nu-i determinată de legile biologice. Creştinii primelor veacuri, care aveau clară şi pură conştiinţa Bisericii, au exprimat depăşirea relaţiilor determinate de ipostasul biologic transpunând în Biserică numirile proprii familiei</w:t>
      </w:r>
      <w:r w:rsidRPr="00B522CC">
        <w:rPr>
          <w:rStyle w:val="FootnoteReference"/>
          <w:rFonts w:cs="Times New Roman"/>
          <w:sz w:val="23"/>
          <w:szCs w:val="23"/>
          <w:lang w:val="ro-RO"/>
        </w:rPr>
        <w:footnoteReference w:id="82"/>
      </w:r>
      <w:r w:rsidRPr="00B522CC">
        <w:rPr>
          <w:rFonts w:cs="Times New Roman"/>
          <w:i/>
          <w:sz w:val="23"/>
          <w:szCs w:val="23"/>
          <w:lang w:val="ro-RO"/>
        </w:rPr>
        <w:t>.</w:t>
      </w:r>
      <w:r w:rsidRPr="00B522CC">
        <w:rPr>
          <w:rFonts w:cs="Times New Roman"/>
          <w:sz w:val="23"/>
          <w:szCs w:val="23"/>
          <w:lang w:val="ro-RO"/>
        </w:rPr>
        <w:t xml:space="preserve"> Astfel, pentru ei tată nu era în primul rând şi în exclusivitate cel după trup, ci Cel din ceruri; mamă, nu era în primul rând şi în exclusivitate cea naturală, ci Biserica, personificată de Maica Domnului; fraţi, de asemenea, toţi creştinii. Nu este vorba de relaţii convenţionale, ci de conştiinţa unei</w:t>
      </w:r>
      <w:r w:rsidRPr="00B522CC">
        <w:rPr>
          <w:rFonts w:cs="Times New Roman"/>
          <w:b/>
          <w:i/>
          <w:sz w:val="23"/>
          <w:szCs w:val="23"/>
          <w:lang w:val="ro-RO"/>
        </w:rPr>
        <w:t xml:space="preserve"> </w:t>
      </w:r>
      <w:r w:rsidRPr="00B522CC">
        <w:rPr>
          <w:rFonts w:cs="Times New Roman"/>
          <w:i/>
          <w:sz w:val="23"/>
          <w:szCs w:val="23"/>
          <w:lang w:val="ro-RO"/>
        </w:rPr>
        <w:t>consangvinităţi mistice</w:t>
      </w:r>
      <w:r w:rsidRPr="00B522CC">
        <w:rPr>
          <w:rFonts w:cs="Times New Roman"/>
          <w:sz w:val="23"/>
          <w:szCs w:val="23"/>
          <w:lang w:val="ro-RO"/>
        </w:rPr>
        <w:t xml:space="preserve">, conştiinţa de a avea prin Sfânta Împărtăşanie acelaşi sânge, sângele lui Hristos, Fiul lui Dumnezeu întrupat. De fapt termenul </w:t>
      </w:r>
      <w:r w:rsidRPr="00B522CC">
        <w:rPr>
          <w:rFonts w:cs="Times New Roman"/>
          <w:i/>
          <w:sz w:val="23"/>
          <w:szCs w:val="23"/>
          <w:lang w:val="ro-RO"/>
        </w:rPr>
        <w:t>comunicare</w:t>
      </w:r>
      <w:r w:rsidRPr="00B522CC">
        <w:rPr>
          <w:rFonts w:cs="Times New Roman"/>
          <w:sz w:val="23"/>
          <w:szCs w:val="23"/>
          <w:lang w:val="ro-RO"/>
        </w:rPr>
        <w:t xml:space="preserve"> provine din </w:t>
      </w:r>
      <w:r w:rsidRPr="00B522CC">
        <w:rPr>
          <w:rFonts w:cs="Times New Roman"/>
          <w:i/>
          <w:sz w:val="23"/>
          <w:szCs w:val="23"/>
          <w:lang w:val="ro-RO"/>
        </w:rPr>
        <w:t>cuminecare</w:t>
      </w:r>
      <w:r w:rsidRPr="00B522CC">
        <w:rPr>
          <w:rFonts w:cs="Times New Roman"/>
          <w:sz w:val="23"/>
          <w:szCs w:val="23"/>
          <w:lang w:val="ro-RO"/>
        </w:rPr>
        <w:t xml:space="preserve">, Sfânta Euharistie unindu-ne cu Hristos şi între noi. În acest context amintim şi alţi termeni care implică şi comuniunea: „etimologia cuvântului latin </w:t>
      </w:r>
      <w:r w:rsidRPr="00B522CC">
        <w:rPr>
          <w:rFonts w:cs="Times New Roman"/>
          <w:i/>
          <w:sz w:val="23"/>
          <w:szCs w:val="23"/>
          <w:lang w:val="ro-RO"/>
        </w:rPr>
        <w:t>cognosco</w:t>
      </w:r>
      <w:r w:rsidRPr="00B522CC">
        <w:rPr>
          <w:rFonts w:cs="Times New Roman"/>
          <w:sz w:val="23"/>
          <w:szCs w:val="23"/>
          <w:lang w:val="ro-RO"/>
        </w:rPr>
        <w:t xml:space="preserve"> (</w:t>
      </w:r>
      <w:r w:rsidRPr="00B522CC">
        <w:rPr>
          <w:rFonts w:cs="Times New Roman"/>
          <w:i/>
          <w:sz w:val="23"/>
          <w:szCs w:val="23"/>
          <w:lang w:val="ro-RO"/>
        </w:rPr>
        <w:t>cum</w:t>
      </w:r>
      <w:r w:rsidRPr="00B522CC">
        <w:rPr>
          <w:rFonts w:cs="Times New Roman"/>
          <w:sz w:val="23"/>
          <w:szCs w:val="23"/>
          <w:lang w:val="ro-RO"/>
        </w:rPr>
        <w:t xml:space="preserve"> + </w:t>
      </w:r>
      <w:r w:rsidRPr="00B522CC">
        <w:rPr>
          <w:rFonts w:cs="Times New Roman"/>
          <w:i/>
          <w:sz w:val="23"/>
          <w:szCs w:val="23"/>
          <w:lang w:val="ro-RO"/>
        </w:rPr>
        <w:t>gnosco</w:t>
      </w:r>
      <w:r w:rsidRPr="00B522CC">
        <w:rPr>
          <w:rFonts w:cs="Times New Roman"/>
          <w:sz w:val="23"/>
          <w:szCs w:val="23"/>
          <w:lang w:val="ro-RO"/>
        </w:rPr>
        <w:t>) arată că oamenii şi-au dat seama din timpuri străvechi despre caracterul interpersonal al cunoaşterii. Acelaşi lucru ni-l atestă şi cuvântul „con-ştiinţă”. Eu nu mă cunosc pe mine fără o relaţie cu ceilalţi”</w:t>
      </w:r>
      <w:r w:rsidRPr="00B522CC">
        <w:rPr>
          <w:rStyle w:val="FootnoteReference"/>
          <w:rFonts w:cs="Times New Roman"/>
          <w:sz w:val="23"/>
          <w:szCs w:val="23"/>
          <w:lang w:val="ro-RO"/>
        </w:rPr>
        <w:footnoteReference w:id="83"/>
      </w:r>
      <w:r w:rsidRPr="00B522CC">
        <w:rPr>
          <w:rFonts w:cs="Times New Roman"/>
          <w:sz w:val="23"/>
          <w:szCs w:val="23"/>
          <w:lang w:val="ro-RO"/>
        </w:rPr>
        <w:t xml:space="preserve">. De asemenea, </w:t>
      </w:r>
      <w:r w:rsidRPr="00B522CC">
        <w:rPr>
          <w:rFonts w:cs="Times New Roman"/>
          <w:i/>
          <w:sz w:val="23"/>
          <w:szCs w:val="23"/>
          <w:lang w:val="ro-RO"/>
        </w:rPr>
        <w:t xml:space="preserve">cuvânt </w:t>
      </w:r>
      <w:r w:rsidRPr="00B522CC">
        <w:rPr>
          <w:rFonts w:cs="Times New Roman"/>
          <w:sz w:val="23"/>
          <w:szCs w:val="23"/>
          <w:lang w:val="ro-RO"/>
        </w:rPr>
        <w:t xml:space="preserve">înseamnă </w:t>
      </w:r>
      <w:r w:rsidRPr="00B522CC">
        <w:rPr>
          <w:rFonts w:cs="Times New Roman"/>
          <w:i/>
          <w:sz w:val="23"/>
          <w:szCs w:val="23"/>
          <w:lang w:val="ro-RO"/>
        </w:rPr>
        <w:t>„conventus”</w:t>
      </w:r>
      <w:r w:rsidRPr="00B522CC">
        <w:rPr>
          <w:rFonts w:cs="Times New Roman"/>
          <w:sz w:val="23"/>
          <w:szCs w:val="23"/>
          <w:lang w:val="ro-RO"/>
        </w:rPr>
        <w:t>, venire la un loc, comunicare reală, spre întărirea reciprocă în viaţa adevărată</w:t>
      </w:r>
      <w:r w:rsidRPr="00B522CC">
        <w:rPr>
          <w:rStyle w:val="FootnoteReference"/>
          <w:rFonts w:cs="Times New Roman"/>
          <w:sz w:val="23"/>
          <w:szCs w:val="23"/>
          <w:lang w:val="ro-RO"/>
        </w:rPr>
        <w:footnoteReference w:id="84"/>
      </w:r>
      <w:r w:rsidRPr="00B522CC">
        <w:rPr>
          <w:rFonts w:cs="Times New Roman"/>
          <w:i/>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Biserica, locul harului şi al lucrării (</w:t>
      </w:r>
      <w:r w:rsidRPr="00B522CC">
        <w:rPr>
          <w:rFonts w:cs="Times New Roman"/>
          <w:i/>
          <w:sz w:val="23"/>
          <w:szCs w:val="23"/>
          <w:lang w:val="ro-RO"/>
        </w:rPr>
        <w:t>energeias</w:t>
      </w:r>
      <w:r w:rsidRPr="00B522CC">
        <w:rPr>
          <w:rFonts w:cs="Times New Roman"/>
          <w:sz w:val="23"/>
          <w:szCs w:val="23"/>
          <w:lang w:val="ro-RO"/>
        </w:rPr>
        <w:t xml:space="preserve">) Duhului Sfânt, este şi mediul în care se petrece înfierea. Sfintele Taine nu sunt doar semne exterioare care constituie elementele „religioase” ale creştinismului; prin aceste simboluri (în sensul etimologic, </w:t>
      </w:r>
      <w:r w:rsidRPr="00B522CC">
        <w:rPr>
          <w:rFonts w:cs="Times New Roman"/>
          <w:i/>
          <w:sz w:val="23"/>
          <w:szCs w:val="23"/>
          <w:lang w:val="ro-RO"/>
        </w:rPr>
        <w:t>symbol</w:t>
      </w:r>
      <w:r w:rsidRPr="00B522CC">
        <w:rPr>
          <w:rFonts w:cs="Times New Roman"/>
          <w:sz w:val="23"/>
          <w:szCs w:val="23"/>
          <w:lang w:val="ro-RO"/>
        </w:rPr>
        <w:t xml:space="preserve"> înseamnă a aşeza împreună două realităţi diferite, respectiv creatul cu necreatul) se operează mântuirea şi se conferă harul înfierii.</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„Să nu lipsim, aşadar, de la sfânta biserică a lui Dumnezeu, care cuprinde atâtea taine ale mântuirii noastre în sfânta rânduială a dumnezeieştilor simboluri ce se săvârşesc. Prin acestea ea, făcând pe fiecare dintre noi să-şi ducă viaţa după Hristos, potrivit cu însuşirile sale, scoate la arătare [evidenţiază n.n.] darul înfierii dat prin Sfântul Botez în Duhul Sfânt, într-o viaţă după voia lui Hristos”</w:t>
      </w:r>
      <w:r w:rsidRPr="00B522CC">
        <w:rPr>
          <w:rStyle w:val="FootnoteReference"/>
          <w:rFonts w:cs="Times New Roman"/>
          <w:sz w:val="23"/>
          <w:szCs w:val="23"/>
          <w:lang w:val="ro-RO"/>
        </w:rPr>
        <w:footnoteReference w:id="85"/>
      </w:r>
      <w:r w:rsidRPr="00B522CC">
        <w:rPr>
          <w:rFonts w:cs="Times New Roman"/>
          <w:i/>
          <w:sz w:val="23"/>
          <w:szCs w:val="23"/>
          <w:lang w:val="ro-RO"/>
        </w:rPr>
        <w:t>.</w:t>
      </w:r>
      <w:r w:rsidRPr="00B522CC">
        <w:rPr>
          <w:rFonts w:cs="Times New Roman"/>
          <w:sz w:val="23"/>
          <w:szCs w:val="23"/>
          <w:lang w:val="ro-RO"/>
        </w:rPr>
        <w:t xml:space="preserve"> Prin Sfânta Taină a Botezului se conferă darul înfierii, care devine operaţional prin participarea la </w:t>
      </w:r>
      <w:r w:rsidRPr="00B522CC">
        <w:rPr>
          <w:rFonts w:cs="Times New Roman"/>
          <w:i/>
          <w:sz w:val="23"/>
          <w:szCs w:val="23"/>
          <w:lang w:val="ro-RO"/>
        </w:rPr>
        <w:t>synaxa</w:t>
      </w:r>
      <w:r w:rsidRPr="00B522CC">
        <w:rPr>
          <w:rFonts w:cs="Times New Roman"/>
          <w:sz w:val="23"/>
          <w:szCs w:val="23"/>
          <w:lang w:val="ro-RO"/>
        </w:rPr>
        <w:t xml:space="preserve"> liturgică unde sunt celebrate „misterele [tainele]</w:t>
      </w:r>
      <w:r w:rsidRPr="00B522CC">
        <w:rPr>
          <w:rStyle w:val="FootnoteReference"/>
          <w:rFonts w:cs="Times New Roman"/>
          <w:sz w:val="23"/>
          <w:szCs w:val="23"/>
          <w:lang w:val="ro-RO"/>
        </w:rPr>
        <w:footnoteReference w:id="86"/>
      </w:r>
      <w:r w:rsidRPr="00B522CC">
        <w:rPr>
          <w:rFonts w:cs="Times New Roman"/>
          <w:sz w:val="23"/>
          <w:szCs w:val="23"/>
          <w:lang w:val="ro-RO"/>
        </w:rPr>
        <w:t xml:space="preserve"> dumnezeieşti şi mântuitoare”</w:t>
      </w:r>
      <w:r w:rsidRPr="00B522CC">
        <w:rPr>
          <w:rStyle w:val="FootnoteReference"/>
          <w:rFonts w:cs="Times New Roman"/>
          <w:sz w:val="23"/>
          <w:szCs w:val="23"/>
          <w:lang w:val="ro-RO"/>
        </w:rPr>
        <w:footnoteReference w:id="87"/>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lastRenderedPageBreak/>
        <w:t>Potrivit Sfântului Maxim, rânduiala liturgică a simbolurilor indică în realitate modul înfierii. Lectura Evangheliei simbolizează întruparea Fiului lui Dumnezeu. „Apoi punându-i între îngeri prin cântarea întreit sfântă şi dăruindu-le aceeaşi ştiinţă a teologiei sfinţitoare (</w:t>
      </w:r>
      <w:r w:rsidRPr="00B522CC">
        <w:rPr>
          <w:rFonts w:cs="Times New Roman"/>
          <w:i/>
          <w:sz w:val="23"/>
          <w:szCs w:val="23"/>
          <w:lang w:val="ro-RO"/>
        </w:rPr>
        <w:t>hagiastikes</w:t>
      </w:r>
      <w:r w:rsidRPr="00B522CC">
        <w:rPr>
          <w:rFonts w:cs="Times New Roman"/>
          <w:sz w:val="23"/>
          <w:szCs w:val="23"/>
          <w:lang w:val="ro-RO"/>
        </w:rPr>
        <w:t xml:space="preserve">) pe care o au şi aceia, îi aduce lui Dumnezeu şi Tatăl, înfiindu-i în Duhul - </w:t>
      </w:r>
      <w:r w:rsidRPr="00B522CC">
        <w:rPr>
          <w:rFonts w:cs="Times New Roman"/>
          <w:i/>
          <w:sz w:val="23"/>
          <w:szCs w:val="23"/>
          <w:lang w:val="ro-RO"/>
        </w:rPr>
        <w:t>yiothetentas to Pneumati</w:t>
      </w:r>
      <w:r w:rsidRPr="00B522CC">
        <w:rPr>
          <w:rFonts w:cs="Times New Roman"/>
          <w:sz w:val="23"/>
          <w:szCs w:val="23"/>
          <w:lang w:val="ro-RO"/>
        </w:rPr>
        <w:t xml:space="preserve"> prin rugăciunea prin care s-au învrednicit să-L numească pe Dumnezeu Tată. De aici iarăşi, după ce au străbătut cu ştiinţă toate raţiunile din lucruri, îi duce în chip neînţeles spre monada necunoscută (</w:t>
      </w:r>
      <w:r w:rsidRPr="00B522CC">
        <w:rPr>
          <w:rFonts w:cs="Times New Roman"/>
          <w:i/>
          <w:sz w:val="23"/>
          <w:szCs w:val="23"/>
          <w:lang w:val="ro-RO"/>
        </w:rPr>
        <w:t>pros ten agnoston agnostos</w:t>
      </w:r>
      <w:r w:rsidRPr="00B522CC">
        <w:rPr>
          <w:rFonts w:cs="Times New Roman"/>
          <w:sz w:val="23"/>
          <w:szCs w:val="23"/>
          <w:lang w:val="ro-RO"/>
        </w:rPr>
        <w:t xml:space="preserve">... </w:t>
      </w:r>
      <w:r w:rsidRPr="00B522CC">
        <w:rPr>
          <w:rFonts w:cs="Times New Roman"/>
          <w:i/>
          <w:sz w:val="23"/>
          <w:szCs w:val="23"/>
          <w:lang w:val="ro-RO"/>
        </w:rPr>
        <w:t>agei monada</w:t>
      </w:r>
      <w:r w:rsidRPr="00B522CC">
        <w:rPr>
          <w:rFonts w:cs="Times New Roman"/>
          <w:sz w:val="23"/>
          <w:szCs w:val="23"/>
          <w:lang w:val="ro-RO"/>
        </w:rPr>
        <w:t>), prin cântarea „Unul Sfânt”, pe cei care s-au unit prin har şi au devenit asemenea după participare, într-o identitate neîmpărţită, după putinţă”</w:t>
      </w:r>
      <w:r w:rsidRPr="00B522CC">
        <w:rPr>
          <w:rStyle w:val="FootnoteReference"/>
          <w:rFonts w:cs="Times New Roman"/>
          <w:sz w:val="23"/>
          <w:szCs w:val="23"/>
          <w:lang w:val="ro-RO"/>
        </w:rPr>
        <w:footnoteReference w:id="88"/>
      </w:r>
      <w:r w:rsidRPr="00B522CC">
        <w:rPr>
          <w:rFonts w:cs="Times New Roman"/>
          <w:sz w:val="23"/>
          <w:szCs w:val="23"/>
          <w:lang w:val="ro-RO"/>
        </w:rPr>
        <w:t>. Mai mult, odată cu lecturarea pericopei evanghelice, Cuvântul lui Dumnezeu devine El însuşi Învăţătorul (</w:t>
      </w:r>
      <w:r w:rsidRPr="00B522CC">
        <w:rPr>
          <w:rFonts w:cs="Times New Roman"/>
          <w:i/>
          <w:sz w:val="23"/>
          <w:szCs w:val="23"/>
          <w:lang w:val="ro-RO"/>
        </w:rPr>
        <w:t>Didaskalos</w:t>
      </w:r>
      <w:r w:rsidRPr="00B522CC">
        <w:rPr>
          <w:rFonts w:cs="Times New Roman"/>
          <w:sz w:val="23"/>
          <w:szCs w:val="23"/>
          <w:lang w:val="ro-RO"/>
        </w:rPr>
        <w:t>) şi Îl revelează pe Dumnezeu Unul în Treime. Cunoaşterea dogmelor înseamnă cunoaşterea mântuirii şi a înfierii, deoarece prin harul înfierii dăruită prin Duhul Sfânt, credinciosul devine vrednic să-L numească pe Dumnezeu Tată în timpul rugăciunii sale. De aici desprindem faptul că Sfântul Maxim consideră că dogma nu este un obiect al cunoaşterii inteligibile, ci este o cunoaştere mântuitoare în cadrul actelor liturgice ale Bisericii. Prin dogme, credincioşii sunt conduşi la cunoaşterea adevărului de credinţă, la participarea şi la unirea cu Dumnezeu prin har</w:t>
      </w:r>
      <w:r w:rsidRPr="00B522CC">
        <w:rPr>
          <w:rStyle w:val="FootnoteReference"/>
          <w:rFonts w:cs="Times New Roman"/>
          <w:sz w:val="23"/>
          <w:szCs w:val="23"/>
          <w:lang w:val="ro-RO"/>
        </w:rPr>
        <w:footnoteReference w:id="89"/>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Primele două etape ale procesului înfierii: naşterea după trup prin care participă la firea creată de Dumnezeu şi naşterea duhovnicească „</w:t>
      </w:r>
      <w:r w:rsidRPr="00B522CC">
        <w:rPr>
          <w:rFonts w:cs="Times New Roman"/>
          <w:i/>
          <w:sz w:val="23"/>
          <w:szCs w:val="23"/>
          <w:lang w:val="ro-RO"/>
        </w:rPr>
        <w:t>din apă şi din Duh</w:t>
      </w:r>
      <w:r w:rsidRPr="00B522CC">
        <w:rPr>
          <w:rFonts w:cs="Times New Roman"/>
          <w:sz w:val="23"/>
          <w:szCs w:val="23"/>
          <w:lang w:val="ro-RO"/>
        </w:rPr>
        <w:t>”, care se realizează în Biserică prin Sfânta Taină a Botezului şi devine lucrătoare prin participarea la „symbolurile”</w:t>
      </w:r>
      <w:r w:rsidRPr="00B522CC">
        <w:rPr>
          <w:rStyle w:val="FootnoteReference"/>
          <w:rFonts w:cs="Times New Roman"/>
          <w:sz w:val="23"/>
          <w:szCs w:val="23"/>
          <w:lang w:val="ro-RO"/>
        </w:rPr>
        <w:footnoteReference w:id="90"/>
      </w:r>
      <w:r w:rsidRPr="00B522CC">
        <w:rPr>
          <w:rFonts w:cs="Times New Roman"/>
          <w:sz w:val="23"/>
          <w:szCs w:val="23"/>
          <w:lang w:val="ro-RO"/>
        </w:rPr>
        <w:t xml:space="preserve"> (misterele sau tainele) săvârşite în timpul synaxei euharistice, iar rugăciunea „Tatăl nostru” este o mărturisire a acestei duble naşteri, sunt urmate de o a treia etapă care recapitulează întreagul concept al înfierii, deoarece uneşte prezentul şi eshatonul, timpul şi eternitatea. „Fericita invocare a marelui Dumnezeu şi Tată, şi rostirea cuvintelor „Unul Sfânt” şi cele următoare şi împărtăşirea cu sfintele şi de viaţă făcătoarele taine indică viitoarea înfiere, unire, legătură, asemănare - </w:t>
      </w:r>
      <w:r w:rsidRPr="00B522CC">
        <w:rPr>
          <w:rFonts w:cs="Times New Roman"/>
          <w:i/>
          <w:sz w:val="23"/>
          <w:szCs w:val="23"/>
          <w:lang w:val="ro-RO"/>
        </w:rPr>
        <w:t>oikeioteta</w:t>
      </w:r>
      <w:r w:rsidRPr="00B522CC">
        <w:rPr>
          <w:rFonts w:cs="Times New Roman"/>
          <w:sz w:val="23"/>
          <w:szCs w:val="23"/>
          <w:lang w:val="ro-RO"/>
        </w:rPr>
        <w:t xml:space="preserve"> dumnezeiască şi îndumnezeire, de care vor avea parte toţi [cei vrednici], după toate celelalte, datorită bunătăţii lui Dumnezeu. Prin aceasta Dumnezeu însuşi va fi toate în toţi cei mântuiţi, la fel strălucind ca frumuseţea originară (</w:t>
      </w:r>
      <w:r w:rsidRPr="00B522CC">
        <w:rPr>
          <w:rFonts w:cs="Times New Roman"/>
          <w:i/>
          <w:sz w:val="23"/>
          <w:szCs w:val="23"/>
          <w:lang w:val="ro-RO"/>
        </w:rPr>
        <w:t>hos kallos archetypon</w:t>
      </w:r>
      <w:r w:rsidRPr="00B522CC">
        <w:rPr>
          <w:rFonts w:cs="Times New Roman"/>
          <w:sz w:val="23"/>
          <w:szCs w:val="23"/>
          <w:lang w:val="ro-RO"/>
        </w:rPr>
        <w:t>) în cei ce strălucesc asemenea Lui după har, prin virtuţi şi cunoştinţă”</w:t>
      </w:r>
      <w:r w:rsidRPr="00B522CC">
        <w:rPr>
          <w:rStyle w:val="FootnoteReference"/>
          <w:rFonts w:cs="Times New Roman"/>
          <w:sz w:val="23"/>
          <w:szCs w:val="23"/>
          <w:lang w:val="ro-RO"/>
        </w:rPr>
        <w:footnoteReference w:id="91"/>
      </w:r>
      <w:r w:rsidRPr="00B522CC">
        <w:rPr>
          <w:rFonts w:cs="Times New Roman"/>
          <w:sz w:val="23"/>
          <w:szCs w:val="23"/>
          <w:lang w:val="ro-RO"/>
        </w:rPr>
        <w:t>. Prin urmare, a treia etapă a procesului înfierii o constituie „împărtăşirea cu sfintele şi de viaţă făcătoarele taine”. Împărtăşirea cu cinstitul Trup şi scumpul Sânge al lui Hristos înseamnă unirea cu Fiul întrupat, deci devenim în mod desăvârşit şi noi fii ai lui Dumnezeu după har, fiind, în acelaşi timp, şi pre-gustarea unirii eshatologice cu El prin asemănare şi înfiere.</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Harul înfierii nu înseamnă o mişcare unilaterală a lui Dumnezeu înspre oameni, ci presupune şi receptarea harului din partea omului, care poate accede la o cunoaştere intimă a lui Dumnezeu „Chemarea atotsfântă şi preacinstită a marelui şi fericitului Dumnezeu şi Tată este simbolul înfierii adevărate şi reale [care va fi conferită (</w:t>
      </w:r>
      <w:r w:rsidRPr="00B522CC">
        <w:rPr>
          <w:rFonts w:cs="Times New Roman"/>
          <w:i/>
          <w:sz w:val="23"/>
          <w:szCs w:val="23"/>
          <w:lang w:val="ro-RO"/>
        </w:rPr>
        <w:t>dothesomenes</w:t>
      </w:r>
      <w:r w:rsidRPr="00B522CC">
        <w:rPr>
          <w:rFonts w:cs="Times New Roman"/>
          <w:sz w:val="23"/>
          <w:szCs w:val="23"/>
          <w:lang w:val="ro-RO"/>
        </w:rPr>
        <w:t>) după ipostas şi existenţă</w:t>
      </w:r>
      <w:r w:rsidRPr="00B522CC">
        <w:rPr>
          <w:rFonts w:cs="Times New Roman"/>
          <w:i/>
          <w:sz w:val="23"/>
          <w:szCs w:val="23"/>
          <w:lang w:val="ro-RO"/>
        </w:rPr>
        <w:t xml:space="preserve"> </w:t>
      </w:r>
      <w:r w:rsidRPr="00B522CC">
        <w:rPr>
          <w:rFonts w:cs="Times New Roman"/>
          <w:sz w:val="23"/>
          <w:szCs w:val="23"/>
          <w:lang w:val="ro-RO"/>
        </w:rPr>
        <w:t>(</w:t>
      </w:r>
      <w:r w:rsidRPr="00B522CC">
        <w:rPr>
          <w:rFonts w:cs="Times New Roman"/>
          <w:i/>
          <w:sz w:val="23"/>
          <w:szCs w:val="23"/>
          <w:lang w:val="ro-RO"/>
        </w:rPr>
        <w:t>enypostatou te kai enyparktou</w:t>
      </w:r>
      <w:r w:rsidRPr="00B522CC">
        <w:rPr>
          <w:rFonts w:cs="Times New Roman"/>
          <w:sz w:val="23"/>
          <w:szCs w:val="23"/>
          <w:lang w:val="ro-RO"/>
        </w:rPr>
        <w:t xml:space="preserve">)], care ni se va da prin darul şi harul Duhului Sfânt. Prin această înfiere, biruindu-se şi acoperindu-se tot ce-i însuşire omenească, prin coborârea harului, se vor face şi vor fi fiii lui Dumnezeu toţi sfinţii, care s-au luminat încă de aici cu frumuseţea </w:t>
      </w:r>
      <w:r w:rsidRPr="00B522CC">
        <w:rPr>
          <w:rFonts w:cs="Times New Roman"/>
          <w:sz w:val="23"/>
          <w:szCs w:val="23"/>
          <w:lang w:val="ro-RO"/>
        </w:rPr>
        <w:lastRenderedPageBreak/>
        <w:t>dumnezeiască a bunătăţii”</w:t>
      </w:r>
      <w:r w:rsidRPr="00B522CC">
        <w:rPr>
          <w:rStyle w:val="FootnoteReference"/>
          <w:rFonts w:cs="Times New Roman"/>
          <w:sz w:val="23"/>
          <w:szCs w:val="23"/>
          <w:lang w:val="ro-RO"/>
        </w:rPr>
        <w:footnoteReference w:id="92"/>
      </w:r>
      <w:r w:rsidRPr="00B522CC">
        <w:rPr>
          <w:rFonts w:cs="Times New Roman"/>
          <w:sz w:val="23"/>
          <w:szCs w:val="23"/>
          <w:lang w:val="ro-RO"/>
        </w:rPr>
        <w:t xml:space="preserve">. Odată ce este împlinit scopul, proprietăţile omeneşti cedează locul experienţei şi omul se împărtăşeşte de starea cea nouă, de receptarea splendorii şi bunătăţii divine. Sufletul ajuns asemenea îngerilor, cunoscând raţiunile despre Dumnezeu nu mai doreşte să-şi aparţină sieşi, nici să se cunoască de către sine, sau de altcineva din lume, ci numai de către Dumnezeu Sfânta Treime: „Sfânta Treime a ipostasurilor este unitate neamestecată după fiinţă şi după raţiunea simplă a ei (...) una şi singură, Dumnezeire nedivizată şi fără confuzie, Dumnezeire simplă, nemicşorată şi netransformabilă, fiind întreagă unitate după fiinţă şi întreagă treime după ipostasuri, o singură rază a unei lumini de întreită strălucire care luminează în chip unitar. Prin această lumină, şi sufletul egal în cinste cu sfinţii îngeri, primind raţiunile- </w:t>
      </w:r>
      <w:r w:rsidRPr="00B522CC">
        <w:rPr>
          <w:rFonts w:cs="Times New Roman"/>
          <w:i/>
          <w:sz w:val="23"/>
          <w:szCs w:val="23"/>
          <w:lang w:val="ro-RO"/>
        </w:rPr>
        <w:t>logous</w:t>
      </w:r>
      <w:r w:rsidRPr="00B522CC">
        <w:rPr>
          <w:rFonts w:cs="Times New Roman"/>
          <w:sz w:val="23"/>
          <w:szCs w:val="23"/>
          <w:lang w:val="ro-RO"/>
        </w:rPr>
        <w:t xml:space="preserve"> despre Dumnezeire, care pot fi cunoscute de creaţie, şi învăţând să laude împreună cu aceia fără cuvinte în chip întreit Dumnezeirea cea una, e dus spre înfierea după har, prin cea mai accentuată asemănare - </w:t>
      </w:r>
      <w:r w:rsidRPr="00B522CC">
        <w:rPr>
          <w:rFonts w:cs="Times New Roman"/>
          <w:i/>
          <w:sz w:val="23"/>
          <w:szCs w:val="23"/>
          <w:lang w:val="ro-RO"/>
        </w:rPr>
        <w:t>di’homoiotetos empherous</w:t>
      </w:r>
      <w:r w:rsidRPr="00B522CC">
        <w:rPr>
          <w:rFonts w:cs="Times New Roman"/>
          <w:sz w:val="23"/>
          <w:szCs w:val="23"/>
          <w:lang w:val="ro-RO"/>
        </w:rPr>
        <w:t>. În temeiul acesteia, având pe Dumnezeu ca Tată tainic şi unic prin har, va fi dus totodată spre adâncul cel unul al Aceluia, prin ieşirea sa din toate. Şi atât de mult va spori în experierea sau în cunoaşterea celor dumnezeieşti, încât nu va mai vrea să fie al său însuşi şi nu va mai putea să se cunoască din sine, de către sine sau din altcineva, ci numai din şi de către Dumnezeu, care întreg l-a primit în întregime cu bunătate şi s-a sălăşluit întreg în întregimea lui, fără pătimire şi în chip cuvenit cu Dumnezeu, şi l-a îndumnezeit întreg. Astfel, cum zice Sfântul Dionisie Areopagitul, sufletul devine chip şi arătare a luminii ascunse, oglindă curată, atotstrăvezie, neştirbită, nepătată, neprihănită, ce prinde, dacă se poate spune, întreaga frumuseţe a arhetipului binelui (</w:t>
      </w:r>
      <w:r w:rsidRPr="00B522CC">
        <w:rPr>
          <w:rFonts w:cs="Times New Roman"/>
          <w:i/>
          <w:sz w:val="23"/>
          <w:szCs w:val="23"/>
          <w:lang w:val="ro-RO"/>
        </w:rPr>
        <w:t>agathotypou</w:t>
      </w:r>
      <w:r w:rsidRPr="00B522CC">
        <w:rPr>
          <w:rFonts w:cs="Times New Roman"/>
          <w:sz w:val="23"/>
          <w:szCs w:val="23"/>
          <w:lang w:val="ro-RO"/>
        </w:rPr>
        <w:t>), care străluceşte în el în chip dumnezeiesc şi nemicşorat, precum este, cu bunătatea negrăită a celor nepătrunse”</w:t>
      </w:r>
      <w:r w:rsidRPr="00B522CC">
        <w:rPr>
          <w:rStyle w:val="FootnoteReference"/>
          <w:rFonts w:cs="Times New Roman"/>
          <w:sz w:val="23"/>
          <w:szCs w:val="23"/>
          <w:lang w:val="ro-RO"/>
        </w:rPr>
        <w:footnoteReference w:id="93"/>
      </w:r>
      <w:r w:rsidRPr="00B522CC">
        <w:rPr>
          <w:rFonts w:cs="Times New Roman"/>
          <w:sz w:val="23"/>
          <w:szCs w:val="23"/>
          <w:lang w:val="ro-RO"/>
        </w:rPr>
        <w:t>. Intrarea „sfintei synaxe” în Biserică simbolizează adevărata iubire a înţelepciunii lui Hristos, virtuţile sufletului. Prin acestea sufletul devine capabil să primească actualizarea harul baptismal al înfierii. „Înfierea este o experienţă şi nu o cunoaştere inteligibilă, experienţă ce conduce sufletul la absoluta abandonare de sine în Dumnezeu şi la îndumnezeire. Înfierea este trăirea empirică a bunătăţii divine, experienţă care se dobândeşte prin exersarea virtuţilor”</w:t>
      </w:r>
      <w:r w:rsidRPr="00B522CC">
        <w:rPr>
          <w:rStyle w:val="FootnoteReference"/>
          <w:rFonts w:cs="Times New Roman"/>
          <w:sz w:val="23"/>
          <w:szCs w:val="23"/>
          <w:lang w:val="ro-RO"/>
        </w:rPr>
        <w:footnoteReference w:id="94"/>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Înfierea primită la Botez se desăvârşeşte, se „gustă” prin Sfânta Euharistie, când ne unim mistic-sacramental cu Fiul şi, fiind cuprinşi în jertfa Sa curată avem acces la comuniunea filială cu Tatăl. Datorită „îmbrăcării” în Hristos, primirii frumuseţii Sale prin Sfânta Taină a Botezului, Tatăl ne declară, ne recunoaşte ca fii ai Săi- după modelul celor petrecute la Botezul Mântuitorului: „</w:t>
      </w:r>
      <w:r w:rsidRPr="00B522CC">
        <w:rPr>
          <w:rFonts w:cs="Times New Roman"/>
          <w:i/>
          <w:sz w:val="23"/>
          <w:szCs w:val="23"/>
          <w:lang w:val="ro-RO"/>
        </w:rPr>
        <w:t>Acesta este Fiul Meu cel iubit</w:t>
      </w:r>
      <w:r w:rsidRPr="00B522CC">
        <w:rPr>
          <w:rFonts w:cs="Times New Roman"/>
          <w:sz w:val="23"/>
          <w:szCs w:val="23"/>
          <w:lang w:val="ro-RO"/>
        </w:rPr>
        <w:t>” (Mt. 3, 17), dar trăirea acestei realităţi are loc după pecetluirea săvârşită de Duhul Sfânt şi împărtăşirea de unica jertfă expiatoare.</w:t>
      </w:r>
    </w:p>
    <w:p w:rsidR="00EE6A7E" w:rsidRPr="00B522CC" w:rsidRDefault="00EE6A7E" w:rsidP="00EE6A7E">
      <w:pPr>
        <w:ind w:firstLine="851"/>
        <w:jc w:val="both"/>
        <w:rPr>
          <w:rFonts w:cs="Times New Roman"/>
          <w:i/>
          <w:sz w:val="23"/>
          <w:szCs w:val="23"/>
          <w:lang w:val="ro-RO"/>
        </w:rPr>
      </w:pPr>
      <w:r w:rsidRPr="00B522CC">
        <w:rPr>
          <w:rFonts w:cs="Times New Roman"/>
          <w:sz w:val="23"/>
          <w:szCs w:val="23"/>
          <w:lang w:val="ro-RO"/>
        </w:rPr>
        <w:t>Caracterul anamnetic, de jertfă şi de taină al Sfintei Euharistii a fost înţeles de creştini de la început, aşa cum reiese din cuvintele Sfântului Apostol Pavel: „</w:t>
      </w:r>
      <w:r w:rsidRPr="00B522CC">
        <w:rPr>
          <w:rFonts w:cs="Times New Roman"/>
          <w:i/>
          <w:sz w:val="23"/>
          <w:szCs w:val="23"/>
          <w:lang w:val="ro-RO"/>
        </w:rPr>
        <w:t>Paharul- binecuvântării-</w:t>
      </w:r>
      <w:r w:rsidRPr="00B522CC">
        <w:rPr>
          <w:rFonts w:cs="Times New Roman"/>
          <w:sz w:val="23"/>
          <w:szCs w:val="23"/>
          <w:lang w:val="ro-RO"/>
        </w:rPr>
        <w:t xml:space="preserve"> (to poterion tes eulogias)</w:t>
      </w:r>
      <w:r w:rsidRPr="00B522CC">
        <w:rPr>
          <w:rFonts w:cs="Times New Roman"/>
          <w:i/>
          <w:sz w:val="23"/>
          <w:szCs w:val="23"/>
          <w:lang w:val="ro-RO"/>
        </w:rPr>
        <w:t xml:space="preserve">, pe care-l binecuvântăm, nu este, oare, împărtăşirea- </w:t>
      </w:r>
      <w:r w:rsidRPr="00B522CC">
        <w:rPr>
          <w:rFonts w:cs="Times New Roman"/>
          <w:sz w:val="23"/>
          <w:szCs w:val="23"/>
          <w:lang w:val="ro-RO"/>
        </w:rPr>
        <w:t>koinonia</w:t>
      </w:r>
      <w:r w:rsidRPr="00B522CC">
        <w:rPr>
          <w:rFonts w:cs="Times New Roman"/>
          <w:i/>
          <w:sz w:val="23"/>
          <w:szCs w:val="23"/>
          <w:lang w:val="ro-RO"/>
        </w:rPr>
        <w:t xml:space="preserve"> cu sângele lui Hristos-</w:t>
      </w:r>
      <w:r w:rsidRPr="00B522CC">
        <w:rPr>
          <w:rFonts w:cs="Times New Roman"/>
          <w:sz w:val="23"/>
          <w:szCs w:val="23"/>
          <w:lang w:val="ro-RO"/>
        </w:rPr>
        <w:t xml:space="preserve"> (tou aimatos tou Hristou</w:t>
      </w:r>
      <w:r w:rsidRPr="00B522CC">
        <w:rPr>
          <w:rFonts w:cs="Times New Roman"/>
          <w:i/>
          <w:sz w:val="23"/>
          <w:szCs w:val="23"/>
          <w:lang w:val="ro-RO"/>
        </w:rPr>
        <w:t>?) Pâinea</w:t>
      </w:r>
      <w:r w:rsidRPr="00B522CC">
        <w:rPr>
          <w:rFonts w:cs="Times New Roman"/>
          <w:sz w:val="23"/>
          <w:szCs w:val="23"/>
          <w:lang w:val="ro-RO"/>
        </w:rPr>
        <w:t>- (ton arton)</w:t>
      </w:r>
      <w:r w:rsidRPr="00B522CC">
        <w:rPr>
          <w:rFonts w:cs="Times New Roman"/>
          <w:i/>
          <w:sz w:val="23"/>
          <w:szCs w:val="23"/>
          <w:lang w:val="ro-RO"/>
        </w:rPr>
        <w:t xml:space="preserve"> pe care o frângem nu este, oare, împărtăşirea cu trupul lui Hristos</w:t>
      </w:r>
      <w:r w:rsidRPr="00B522CC">
        <w:rPr>
          <w:rFonts w:cs="Times New Roman"/>
          <w:sz w:val="23"/>
          <w:szCs w:val="23"/>
          <w:lang w:val="ro-RO"/>
        </w:rPr>
        <w:t>- (tou somatos tou Hristou</w:t>
      </w:r>
      <w:r w:rsidRPr="00B522CC">
        <w:rPr>
          <w:rFonts w:cs="Times New Roman"/>
          <w:i/>
          <w:sz w:val="23"/>
          <w:szCs w:val="23"/>
          <w:lang w:val="ro-RO"/>
        </w:rPr>
        <w:t xml:space="preserve">?)” </w:t>
      </w:r>
      <w:r w:rsidRPr="00B522CC">
        <w:rPr>
          <w:rFonts w:cs="Times New Roman"/>
          <w:sz w:val="23"/>
          <w:szCs w:val="23"/>
          <w:lang w:val="ro-RO"/>
        </w:rPr>
        <w:t>(1 Cor. 10, 16); „</w:t>
      </w:r>
      <w:r w:rsidRPr="00B522CC">
        <w:rPr>
          <w:rFonts w:cs="Times New Roman"/>
          <w:i/>
          <w:sz w:val="23"/>
          <w:szCs w:val="23"/>
          <w:lang w:val="ro-RO"/>
        </w:rPr>
        <w:t>Fiindcă de câte ori veţi mânca pâinea aceasta şi veţi bea paharul acesta, moartea Domnului vestiţi până când El va veni. Astfel, oricine va mânca pâinea sau va bea paharul Domnului cu nevrednicie- (</w:t>
      </w:r>
      <w:r w:rsidRPr="00B522CC">
        <w:rPr>
          <w:rFonts w:cs="Times New Roman"/>
          <w:sz w:val="23"/>
          <w:szCs w:val="23"/>
          <w:lang w:val="ro-RO"/>
        </w:rPr>
        <w:t>anaxios-indigne)</w:t>
      </w:r>
      <w:r w:rsidRPr="00B522CC">
        <w:rPr>
          <w:rFonts w:cs="Times New Roman"/>
          <w:i/>
          <w:sz w:val="23"/>
          <w:szCs w:val="23"/>
          <w:lang w:val="ro-RO"/>
        </w:rPr>
        <w:t xml:space="preserve">, vinovat va fi faţă de Trupul şi de Sângele Domnului- (tou somatos kai tou aimatos tou Kyriou). Să se cerceteze omul pe sine şi aşa să mănânce din Pâine şi să bea din Pahar. Căci cel ce mănâncă şi bea cu nevrednicie, osândă îşi mănâncă şi bea, nesocotind Trupul [şi Sângele] Domnului. Pentru aceasta sunt mulţi dintre voi neputincioşi şi bolnavi şi mulţi au murit” </w:t>
      </w:r>
      <w:r w:rsidRPr="00B522CC">
        <w:rPr>
          <w:rFonts w:cs="Times New Roman"/>
          <w:sz w:val="23"/>
          <w:szCs w:val="23"/>
          <w:lang w:val="ro-RO"/>
        </w:rPr>
        <w:t>(1 Cor. 11, 26-30</w:t>
      </w:r>
      <w:r w:rsidRPr="00B522CC">
        <w:rPr>
          <w:rFonts w:cs="Times New Roman"/>
          <w:i/>
          <w:sz w:val="23"/>
          <w:szCs w:val="23"/>
          <w:lang w:val="ro-RO"/>
        </w:rPr>
        <w:t>).</w:t>
      </w:r>
    </w:p>
    <w:p w:rsidR="00EE6A7E" w:rsidRPr="00B522CC" w:rsidRDefault="00EE6A7E" w:rsidP="00EE6A7E">
      <w:pPr>
        <w:ind w:firstLine="851"/>
        <w:jc w:val="both"/>
        <w:rPr>
          <w:rFonts w:cs="Times New Roman"/>
          <w:i/>
          <w:sz w:val="23"/>
          <w:szCs w:val="23"/>
          <w:lang w:val="ro-RO"/>
        </w:rPr>
      </w:pPr>
      <w:r w:rsidRPr="00B522CC">
        <w:rPr>
          <w:rFonts w:cs="Times New Roman"/>
          <w:sz w:val="23"/>
          <w:szCs w:val="23"/>
          <w:lang w:val="ro-RO"/>
        </w:rPr>
        <w:t xml:space="preserve">Nimeni nu a contestat autenticitatea acestor pasaje. Înţelegem de aici şi mai mult importanţa pregătirii pentru primirea Sfintei Euharistii. Ne împărtăşim cu Trupul şi Sângele Domnului, cu firea Sa umană pe care Şi-a asumat-o din Preacurata Fecioara Maria, şi pe care a îndumnezeit-o prin întrupare, viaţa de ascultare, patimi, răstignire, înviere şi înălţare cu trupul la cer. Pe Cruce, Trupul Său se frânge, iar sângele Său se varsă în semn de compasiune şi de </w:t>
      </w:r>
      <w:r w:rsidRPr="00B522CC">
        <w:rPr>
          <w:rFonts w:cs="Times New Roman"/>
          <w:sz w:val="23"/>
          <w:szCs w:val="23"/>
          <w:lang w:val="ro-RO"/>
        </w:rPr>
        <w:lastRenderedPageBreak/>
        <w:t xml:space="preserve">solidaritate cu umanitatea noastră frântă. Fiul lui Dumnezeu Şi-a enipostaziat firea umană în momentul zămislirii. Când Fecioara Maria a rostit </w:t>
      </w:r>
      <w:r w:rsidRPr="00B522CC">
        <w:rPr>
          <w:rFonts w:cs="Times New Roman"/>
          <w:i/>
          <w:sz w:val="23"/>
          <w:szCs w:val="23"/>
          <w:lang w:val="ro-RO"/>
        </w:rPr>
        <w:t>fiat</w:t>
      </w:r>
      <w:r w:rsidRPr="00B522CC">
        <w:rPr>
          <w:rFonts w:cs="Times New Roman"/>
          <w:sz w:val="23"/>
          <w:szCs w:val="23"/>
          <w:lang w:val="ro-RO"/>
        </w:rPr>
        <w:t>,</w:t>
      </w:r>
      <w:r w:rsidRPr="00B522CC">
        <w:rPr>
          <w:rFonts w:cs="Times New Roman"/>
          <w:i/>
          <w:sz w:val="23"/>
          <w:szCs w:val="23"/>
          <w:lang w:val="ro-RO"/>
        </w:rPr>
        <w:t xml:space="preserve"> </w:t>
      </w:r>
      <w:r w:rsidRPr="00B522CC">
        <w:rPr>
          <w:rFonts w:cs="Times New Roman"/>
          <w:sz w:val="23"/>
          <w:szCs w:val="23"/>
          <w:lang w:val="ro-RO"/>
        </w:rPr>
        <w:t xml:space="preserve">firea Sa dumnezeiască S-a unit cu cea omenească în mod </w:t>
      </w:r>
      <w:r w:rsidRPr="00B522CC">
        <w:rPr>
          <w:rFonts w:cs="Times New Roman"/>
          <w:i/>
          <w:sz w:val="23"/>
          <w:szCs w:val="23"/>
          <w:lang w:val="ro-RO"/>
        </w:rPr>
        <w:t>neîmpărţit şi nedespărţit, neamestecat şi neschimbat</w:t>
      </w:r>
      <w:r w:rsidRPr="00B522CC">
        <w:rPr>
          <w:rFonts w:cs="Times New Roman"/>
          <w:sz w:val="23"/>
          <w:szCs w:val="23"/>
          <w:lang w:val="ro-RO"/>
        </w:rPr>
        <w:t>, prin urmare, firea Sa dumnezeiască nu se mai desparte niciodată de cea omenească, dimpotrivă, El S-a înălţat la ceruri cu firea Sa umană în care ne-a cuprins virtual pe toţi, fiind şi Noul Adam. Şi cum cele două naturi nu pot exista de sine, ci sunt ipostaziate de o singură persoană, cea a Fiului lui Dumnezeu, înţelegem că în Sfânta Euharistie este prezentă mistic-sacramental şi firea dumnezeiască a Mântuitorului, de aceea o numim:</w:t>
      </w:r>
      <w:r w:rsidRPr="00B522CC">
        <w:rPr>
          <w:rFonts w:cs="Times New Roman"/>
          <w:i/>
          <w:sz w:val="23"/>
          <w:szCs w:val="23"/>
          <w:lang w:val="ro-RO"/>
        </w:rPr>
        <w:t xml:space="preserve"> dumnezeiasca Euharistie,</w:t>
      </w:r>
      <w:r w:rsidRPr="00B522CC">
        <w:rPr>
          <w:rFonts w:cs="Times New Roman"/>
          <w:sz w:val="23"/>
          <w:szCs w:val="23"/>
          <w:lang w:val="ro-RO"/>
        </w:rPr>
        <w:t xml:space="preserve"> şi Persoana cea unică, de aceea mărturisim că ne împărtăşim </w:t>
      </w:r>
      <w:r w:rsidRPr="00B522CC">
        <w:rPr>
          <w:rFonts w:cs="Times New Roman"/>
          <w:i/>
          <w:sz w:val="23"/>
          <w:szCs w:val="23"/>
          <w:lang w:val="ro-RO"/>
        </w:rPr>
        <w:t>cu Hristos</w:t>
      </w:r>
      <w:r w:rsidRPr="00B522CC">
        <w:rPr>
          <w:rFonts w:cs="Times New Roman"/>
          <w:sz w:val="23"/>
          <w:szCs w:val="23"/>
          <w:lang w:val="ro-RO"/>
        </w:rPr>
        <w:t>, ne unim cu El. Sfântul Apostol Petru ne spune: „</w:t>
      </w:r>
      <w:r w:rsidRPr="00B522CC">
        <w:rPr>
          <w:rFonts w:cs="Times New Roman"/>
          <w:i/>
          <w:sz w:val="23"/>
          <w:szCs w:val="23"/>
          <w:lang w:val="ro-RO"/>
        </w:rPr>
        <w:t>Cu dumnezeiasca Lui putere ne-a dăruit toate cele ce sunt spre viaţă şi evlavie, făcându-ne să-L cunoaştem pe Cel Ce ne-a chemat prin propria lui slavă şi prin vârtutea Sa, prin care ne-a dăruit preţioase şi foarte mari făgăduinţe pentru ca, scăpaţi fiind voi de stricăciunea poftei care e în lume, să deveniţi părtaşi ai firii celei dumnezeieşti</w:t>
      </w:r>
      <w:r w:rsidRPr="00B522CC">
        <w:rPr>
          <w:rFonts w:cs="Times New Roman"/>
          <w:sz w:val="23"/>
          <w:szCs w:val="23"/>
          <w:lang w:val="ro-RO"/>
        </w:rPr>
        <w:t xml:space="preserve"> (</w:t>
      </w:r>
      <w:r w:rsidRPr="00B522CC">
        <w:rPr>
          <w:rFonts w:cs="Times New Roman"/>
          <w:i/>
          <w:sz w:val="23"/>
          <w:szCs w:val="23"/>
          <w:lang w:val="ro-RO"/>
        </w:rPr>
        <w:t>ghenesthe theias koinonoi physeos, efficiamini divinae consortes naturae</w:t>
      </w:r>
      <w:r w:rsidRPr="00B522CC">
        <w:rPr>
          <w:rFonts w:cs="Times New Roman"/>
          <w:sz w:val="23"/>
          <w:szCs w:val="23"/>
          <w:lang w:val="ro-RO"/>
        </w:rPr>
        <w:t>)</w:t>
      </w:r>
      <w:r w:rsidRPr="00B522CC">
        <w:rPr>
          <w:rFonts w:cs="Times New Roman"/>
          <w:i/>
          <w:sz w:val="23"/>
          <w:szCs w:val="23"/>
          <w:lang w:val="ro-RO"/>
        </w:rPr>
        <w:t xml:space="preserve">” </w:t>
      </w:r>
      <w:r w:rsidRPr="00B522CC">
        <w:rPr>
          <w:rFonts w:cs="Times New Roman"/>
          <w:sz w:val="23"/>
          <w:szCs w:val="23"/>
          <w:lang w:val="ro-RO"/>
        </w:rPr>
        <w:t>(2 Pt</w:t>
      </w:r>
      <w:r w:rsidRPr="00B522CC">
        <w:rPr>
          <w:rFonts w:cs="Times New Roman"/>
          <w:i/>
          <w:sz w:val="23"/>
          <w:szCs w:val="23"/>
          <w:lang w:val="ro-RO"/>
        </w:rPr>
        <w:t xml:space="preserve">. </w:t>
      </w:r>
      <w:r w:rsidRPr="00B522CC">
        <w:rPr>
          <w:rFonts w:cs="Times New Roman"/>
          <w:sz w:val="23"/>
          <w:szCs w:val="23"/>
          <w:lang w:val="ro-RO"/>
        </w:rPr>
        <w:t>1, 3-4)</w:t>
      </w:r>
      <w:r w:rsidRPr="00B522CC">
        <w:rPr>
          <w:rStyle w:val="FootnoteReference"/>
          <w:rFonts w:cs="Times New Roman"/>
          <w:sz w:val="23"/>
          <w:szCs w:val="23"/>
          <w:lang w:val="ro-RO"/>
        </w:rPr>
        <w:footnoteReference w:id="95"/>
      </w:r>
      <w:r w:rsidRPr="00B522CC">
        <w:rPr>
          <w:rFonts w:cs="Times New Roman"/>
          <w:i/>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După slăvita Sa Înălţare la ceruri şi şedere de-a dreapta Tatălui, Mântuitorul nu Se va mai arăta prin mijlocirea unei apariţii corporale vizibile</w:t>
      </w:r>
      <w:r w:rsidRPr="00B522CC">
        <w:rPr>
          <w:rStyle w:val="FootnoteReference"/>
          <w:rFonts w:cs="Times New Roman"/>
          <w:sz w:val="23"/>
          <w:szCs w:val="23"/>
          <w:lang w:val="ro-RO"/>
        </w:rPr>
        <w:footnoteReference w:id="96"/>
      </w:r>
      <w:r w:rsidRPr="00B522CC">
        <w:rPr>
          <w:rFonts w:cs="Times New Roman"/>
          <w:sz w:val="23"/>
          <w:szCs w:val="23"/>
          <w:lang w:val="ro-RO"/>
        </w:rPr>
        <w:t>, ci Sfânta Împărtăşanie va fi, după Cincizecime, modul deplinei comuniuni cu Hristos. Vederea Sa în lumina cea neapropiată este consecinţa primirii cu vrednicie a Sfintei Euharistii, este darul lui Dumnezeu şi rezultatul efortului etic-ascetic. După ce ne-am împărtăşit, cântăm: „</w:t>
      </w:r>
      <w:r w:rsidRPr="00B522CC">
        <w:rPr>
          <w:rFonts w:cs="Times New Roman"/>
          <w:i/>
          <w:sz w:val="23"/>
          <w:szCs w:val="23"/>
          <w:lang w:val="ro-RO"/>
        </w:rPr>
        <w:t xml:space="preserve">Am văzut lumina cea adevărată </w:t>
      </w:r>
      <w:r w:rsidRPr="00B522CC">
        <w:rPr>
          <w:rFonts w:cs="Times New Roman"/>
          <w:sz w:val="23"/>
          <w:szCs w:val="23"/>
          <w:lang w:val="ro-RO"/>
        </w:rPr>
        <w:t>(</w:t>
      </w:r>
      <w:r w:rsidRPr="00B522CC">
        <w:rPr>
          <w:rFonts w:cs="Times New Roman"/>
          <w:i/>
          <w:sz w:val="23"/>
          <w:szCs w:val="23"/>
          <w:lang w:val="ro-RO"/>
        </w:rPr>
        <w:t>...</w:t>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Relaţia între theognosie şi Sfânta Euharistie este evidentă în textul nou-testamentar care istoriseşte arătarea Mântuitorului după slăvita Sa Înviere, şi convorbirea cu cei doi ucenici pe drumul spre Emaus: „</w:t>
      </w:r>
      <w:r w:rsidRPr="00B522CC">
        <w:rPr>
          <w:rFonts w:cs="Times New Roman"/>
          <w:i/>
          <w:sz w:val="23"/>
          <w:szCs w:val="23"/>
          <w:lang w:val="ro-RO"/>
        </w:rPr>
        <w:t>Şi, când a stat împreună cu ei la masă, luând El pâinea, a binecuvântat şi, frângând, le-a dat lor. Şi s-au deschis ochii lor şi L-au cunoscut</w:t>
      </w:r>
      <w:r w:rsidRPr="00B522CC">
        <w:rPr>
          <w:rFonts w:cs="Times New Roman"/>
          <w:sz w:val="23"/>
          <w:szCs w:val="23"/>
          <w:lang w:val="ro-RO"/>
        </w:rPr>
        <w:t xml:space="preserve"> (kai epegnosan auton, et cognoverunt eum); </w:t>
      </w:r>
      <w:r w:rsidRPr="00B522CC">
        <w:rPr>
          <w:rFonts w:cs="Times New Roman"/>
          <w:i/>
          <w:sz w:val="23"/>
          <w:szCs w:val="23"/>
          <w:lang w:val="ro-RO"/>
        </w:rPr>
        <w:t>şi El S-a făcut nevăzut de ei</w:t>
      </w:r>
      <w:r w:rsidRPr="00B522CC">
        <w:rPr>
          <w:rFonts w:cs="Times New Roman"/>
          <w:sz w:val="23"/>
          <w:szCs w:val="23"/>
          <w:lang w:val="ro-RO"/>
        </w:rPr>
        <w:t xml:space="preserve">. </w:t>
      </w:r>
      <w:r w:rsidRPr="00B522CC">
        <w:rPr>
          <w:rFonts w:cs="Times New Roman"/>
          <w:i/>
          <w:sz w:val="23"/>
          <w:szCs w:val="23"/>
          <w:lang w:val="ro-RO"/>
        </w:rPr>
        <w:t>Şi au zis unul către altul: Oare nu ardea inima în noi când ne vorbea pe cale şi când ne tâlcuia Scripturile</w:t>
      </w:r>
      <w:r w:rsidRPr="00B522CC">
        <w:rPr>
          <w:rFonts w:cs="Times New Roman"/>
          <w:sz w:val="23"/>
          <w:szCs w:val="23"/>
          <w:lang w:val="ro-RO"/>
        </w:rPr>
        <w:t>” (Lc. 24, 30-31). Împărtăşirea cu Hristos a însemnat cunoaşterea Sa, dar şi anamneza stării speciale pe care o aveau când erau în proximitatea Lui, „</w:t>
      </w:r>
      <w:r w:rsidRPr="00B522CC">
        <w:rPr>
          <w:rFonts w:cs="Times New Roman"/>
          <w:i/>
          <w:sz w:val="23"/>
          <w:szCs w:val="23"/>
          <w:lang w:val="ro-RO"/>
        </w:rPr>
        <w:t>pe cale”</w:t>
      </w:r>
      <w:r w:rsidRPr="00B522CC">
        <w:rPr>
          <w:rFonts w:cs="Times New Roman"/>
          <w:sz w:val="23"/>
          <w:szCs w:val="23"/>
          <w:lang w:val="ro-RO"/>
        </w:rPr>
        <w:t>. În acelaşi timp, aşa cum sublinia ÎPS Arhiepiscop Bartolomeu al Clujului în nota la Lc. 24, 30, în acest text ni se prezintă modul trecerii de la Iisus Hristos istoric la Iisus Hristos euharistic, de la Iisus Hristos contemporanul, lângă Care se puteau afla oamenii, la Iisus Hristos Cel dinlăuntrul omului. Potrivit Sfântului Apostol Pavel, datorită experierii mistic-sacramentale a morţii şi învierii lui Hristos, El trăieşte în creştini: „</w:t>
      </w:r>
      <w:r w:rsidRPr="00B522CC">
        <w:rPr>
          <w:rFonts w:cs="Times New Roman"/>
          <w:i/>
          <w:sz w:val="23"/>
          <w:szCs w:val="23"/>
          <w:lang w:val="ro-RO"/>
        </w:rPr>
        <w:t>Hristos este Cel Ce trăieşte în mine</w:t>
      </w:r>
      <w:r w:rsidRPr="00B522CC">
        <w:rPr>
          <w:rFonts w:cs="Times New Roman"/>
          <w:sz w:val="23"/>
          <w:szCs w:val="23"/>
          <w:lang w:val="ro-RO"/>
        </w:rPr>
        <w:t>” (Gal. 2, 20); „…</w:t>
      </w:r>
      <w:r w:rsidRPr="00B522CC">
        <w:rPr>
          <w:rFonts w:cs="Times New Roman"/>
          <w:i/>
          <w:sz w:val="23"/>
          <w:szCs w:val="23"/>
          <w:lang w:val="ro-RO"/>
        </w:rPr>
        <w:t>Hristos este în voi</w:t>
      </w:r>
      <w:r w:rsidRPr="00B522CC">
        <w:rPr>
          <w:rFonts w:cs="Times New Roman"/>
          <w:sz w:val="23"/>
          <w:szCs w:val="23"/>
          <w:lang w:val="ro-RO"/>
        </w:rPr>
        <w:t>” (Rm. 8, 10; 2 Co. 13, 5); „</w:t>
      </w:r>
      <w:r w:rsidRPr="00B522CC">
        <w:rPr>
          <w:rFonts w:cs="Times New Roman"/>
          <w:i/>
          <w:sz w:val="23"/>
          <w:szCs w:val="23"/>
          <w:lang w:val="ro-RO"/>
        </w:rPr>
        <w:t>Hristos Cel dintru voi…</w:t>
      </w:r>
      <w:r w:rsidRPr="00B522CC">
        <w:rPr>
          <w:rFonts w:cs="Times New Roman"/>
          <w:sz w:val="23"/>
          <w:szCs w:val="23"/>
          <w:lang w:val="ro-RO"/>
        </w:rPr>
        <w:t>” (Col. 1, 27); „</w:t>
      </w:r>
      <w:r w:rsidRPr="00B522CC">
        <w:rPr>
          <w:rFonts w:cs="Times New Roman"/>
          <w:i/>
          <w:sz w:val="23"/>
          <w:szCs w:val="23"/>
          <w:lang w:val="ro-RO"/>
        </w:rPr>
        <w:t>Hristos, totul întru toţi</w:t>
      </w:r>
      <w:r w:rsidRPr="00B522CC">
        <w:rPr>
          <w:rFonts w:cs="Times New Roman"/>
          <w:sz w:val="23"/>
          <w:szCs w:val="23"/>
          <w:lang w:val="ro-RO"/>
        </w:rPr>
        <w:t>” (Col. 3, 11). El se sălăşluieşte în inimile lor: „</w:t>
      </w:r>
      <w:r w:rsidRPr="00B522CC">
        <w:rPr>
          <w:rFonts w:cs="Times New Roman"/>
          <w:i/>
          <w:sz w:val="23"/>
          <w:szCs w:val="23"/>
          <w:lang w:val="ro-RO"/>
        </w:rPr>
        <w:t>Hristos să Se sălăşluiască prin credinţă în inimile voastre</w:t>
      </w:r>
      <w:r w:rsidRPr="00B522CC">
        <w:rPr>
          <w:rFonts w:cs="Times New Roman"/>
          <w:sz w:val="23"/>
          <w:szCs w:val="23"/>
          <w:lang w:val="ro-RO"/>
        </w:rPr>
        <w:t>” (Efes. 3, 17).</w:t>
      </w:r>
    </w:p>
    <w:p w:rsidR="00EE6A7E" w:rsidRPr="00B522CC" w:rsidRDefault="00EE6A7E" w:rsidP="00EE6A7E">
      <w:pPr>
        <w:ind w:firstLine="851"/>
        <w:jc w:val="both"/>
        <w:rPr>
          <w:rStyle w:val="FootnoteCharacters"/>
          <w:rFonts w:cs="Times New Roman"/>
          <w:sz w:val="23"/>
          <w:szCs w:val="23"/>
          <w:lang w:val="ro-RO"/>
        </w:rPr>
      </w:pPr>
      <w:r w:rsidRPr="00B522CC">
        <w:rPr>
          <w:rFonts w:cs="Times New Roman"/>
          <w:sz w:val="23"/>
          <w:szCs w:val="23"/>
          <w:lang w:val="ro-RO"/>
        </w:rPr>
        <w:t xml:space="preserve">Sfinţii Părinţi şi scriitorii bisericeşti vor da glas acestei experienţe tainice, vor accentua relaţia directă dintre primirea Sfintelor Taine şi cunoaşterea lui Dumnezeu. Spre exemplificare ne vom referi în continuare la opera lui Clement Alexandrinul. Învăţătura centrală a marelui dascăl din Alexandria, este cunoaşterea- </w:t>
      </w:r>
      <w:r w:rsidRPr="00B522CC">
        <w:rPr>
          <w:rFonts w:cs="Times New Roman"/>
          <w:i/>
          <w:sz w:val="23"/>
          <w:szCs w:val="23"/>
          <w:lang w:val="ro-RO"/>
        </w:rPr>
        <w:t>gnosis</w:t>
      </w:r>
      <w:r w:rsidRPr="00B522CC">
        <w:rPr>
          <w:rFonts w:cs="Times New Roman"/>
          <w:sz w:val="23"/>
          <w:szCs w:val="23"/>
          <w:lang w:val="ro-RO"/>
        </w:rPr>
        <w:t xml:space="preserve"> creştină</w:t>
      </w:r>
      <w:r w:rsidRPr="00B522CC">
        <w:rPr>
          <w:rStyle w:val="FootnoteReference"/>
          <w:rFonts w:cs="Times New Roman"/>
          <w:sz w:val="23"/>
          <w:szCs w:val="23"/>
          <w:lang w:val="ro-RO"/>
        </w:rPr>
        <w:footnoteReference w:id="97"/>
      </w:r>
      <w:r w:rsidRPr="00B522CC">
        <w:rPr>
          <w:rFonts w:cs="Times New Roman"/>
          <w:sz w:val="23"/>
          <w:szCs w:val="23"/>
          <w:lang w:val="ro-RO"/>
        </w:rPr>
        <w:t xml:space="preserve">. Pentru Clement, </w:t>
      </w:r>
      <w:r w:rsidRPr="00B522CC">
        <w:rPr>
          <w:rFonts w:cs="Times New Roman"/>
          <w:i/>
          <w:sz w:val="23"/>
          <w:szCs w:val="23"/>
          <w:lang w:val="ro-RO"/>
        </w:rPr>
        <w:t>gnosis</w:t>
      </w:r>
      <w:r w:rsidRPr="00B522CC">
        <w:rPr>
          <w:rFonts w:cs="Times New Roman"/>
          <w:sz w:val="23"/>
          <w:szCs w:val="23"/>
          <w:lang w:val="ro-RO"/>
        </w:rPr>
        <w:t xml:space="preserve"> este experienţa ajungerii la un grad de cunoaştere a misterului divin, a Logos-ului, unirea cu Acesta ducând la îndumnezeire. Dar ascensiunea la nivelul gnosticului</w:t>
      </w:r>
      <w:r w:rsidRPr="00B522CC">
        <w:rPr>
          <w:rStyle w:val="FootnoteReference"/>
          <w:rFonts w:cs="Times New Roman"/>
          <w:sz w:val="23"/>
          <w:szCs w:val="23"/>
          <w:lang w:val="ro-RO"/>
        </w:rPr>
        <w:footnoteReference w:id="98"/>
      </w:r>
      <w:r w:rsidRPr="00B522CC">
        <w:rPr>
          <w:rStyle w:val="FootnoteCharacters"/>
          <w:rFonts w:cs="Times New Roman"/>
          <w:sz w:val="23"/>
          <w:szCs w:val="23"/>
          <w:lang w:val="ro-RO"/>
        </w:rPr>
        <w:t xml:space="preserve"> </w:t>
      </w:r>
      <w:r w:rsidRPr="00B522CC">
        <w:rPr>
          <w:rFonts w:cs="Times New Roman"/>
          <w:sz w:val="23"/>
          <w:szCs w:val="23"/>
          <w:lang w:val="ro-RO"/>
        </w:rPr>
        <w:t xml:space="preserve">creştin nu este deschisă tuturor. Aceasta nu implică o concepţie ierarhică sau elitistă, deoarece Clement considera că credinţa neofitului are pentru Dumnezeu aceeaşi valoare ca şi cea a gnosticului creştin. Totodată, Clement exprimă în opera sa un autentic ethos euharistic, ce constituie fundamentul vieţii de comuniune, exprimă, de fapt, o strânsă relaţie între Sfânta Euharistie şi </w:t>
      </w:r>
      <w:r w:rsidRPr="00B522CC">
        <w:rPr>
          <w:rFonts w:cs="Times New Roman"/>
          <w:i/>
          <w:sz w:val="23"/>
          <w:szCs w:val="23"/>
          <w:lang w:val="ro-RO"/>
        </w:rPr>
        <w:t>gnosis</w:t>
      </w:r>
      <w:r w:rsidRPr="00B522CC">
        <w:rPr>
          <w:rStyle w:val="FootnoteReference"/>
          <w:rFonts w:cs="Times New Roman"/>
          <w:i/>
          <w:sz w:val="23"/>
          <w:szCs w:val="23"/>
          <w:lang w:val="ro-RO"/>
        </w:rPr>
        <w:footnoteReference w:id="99"/>
      </w:r>
      <w:r w:rsidRPr="00B522CC">
        <w:rPr>
          <w:rFonts w:cs="Times New Roman"/>
          <w:i/>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lastRenderedPageBreak/>
        <w:t xml:space="preserve">Clement împarte oamenii în trei categorii: </w:t>
      </w:r>
      <w:r w:rsidRPr="00B522CC">
        <w:rPr>
          <w:rFonts w:cs="Times New Roman"/>
          <w:i/>
          <w:sz w:val="23"/>
          <w:szCs w:val="23"/>
          <w:lang w:val="ro-RO"/>
        </w:rPr>
        <w:t xml:space="preserve">phauloi, prokopoi </w:t>
      </w:r>
      <w:r w:rsidRPr="00B522CC">
        <w:rPr>
          <w:rFonts w:cs="Times New Roman"/>
          <w:sz w:val="23"/>
          <w:szCs w:val="23"/>
          <w:lang w:val="ro-RO"/>
        </w:rPr>
        <w:t xml:space="preserve">şi </w:t>
      </w:r>
      <w:r w:rsidRPr="00B522CC">
        <w:rPr>
          <w:rFonts w:cs="Times New Roman"/>
          <w:i/>
          <w:sz w:val="23"/>
          <w:szCs w:val="23"/>
          <w:lang w:val="ro-RO"/>
        </w:rPr>
        <w:t>sophoi</w:t>
      </w:r>
      <w:r w:rsidRPr="00B522CC">
        <w:rPr>
          <w:rFonts w:cs="Times New Roman"/>
          <w:sz w:val="23"/>
          <w:szCs w:val="23"/>
          <w:lang w:val="ro-RO"/>
        </w:rPr>
        <w:t xml:space="preserve">. </w:t>
      </w:r>
      <w:r w:rsidRPr="00B522CC">
        <w:rPr>
          <w:rFonts w:cs="Times New Roman"/>
          <w:i/>
          <w:sz w:val="23"/>
          <w:szCs w:val="23"/>
          <w:lang w:val="ro-RO"/>
        </w:rPr>
        <w:t>Phauloi</w:t>
      </w:r>
      <w:r w:rsidRPr="00B522CC">
        <w:rPr>
          <w:rFonts w:cs="Times New Roman"/>
          <w:sz w:val="23"/>
          <w:szCs w:val="23"/>
          <w:lang w:val="ro-RO"/>
        </w:rPr>
        <w:t xml:space="preserve"> erau cei dintre neamuri, evreii neconvertiţi şi catehumenii. </w:t>
      </w:r>
      <w:r w:rsidRPr="00B522CC">
        <w:rPr>
          <w:rFonts w:cs="Times New Roman"/>
          <w:i/>
          <w:sz w:val="23"/>
          <w:szCs w:val="23"/>
          <w:lang w:val="ro-RO"/>
        </w:rPr>
        <w:t>Prokopoi</w:t>
      </w:r>
      <w:r w:rsidRPr="00B522CC">
        <w:rPr>
          <w:rFonts w:cs="Times New Roman"/>
          <w:sz w:val="23"/>
          <w:szCs w:val="23"/>
          <w:lang w:val="ro-RO"/>
        </w:rPr>
        <w:t xml:space="preserve"> erau cei botezaţi, robii credincioşi ai lui Dumnezeu, angajaţi în ascensiunea spre condiţia de persoane depline după chipul şi asemănarea Logos-ului. </w:t>
      </w:r>
      <w:r w:rsidRPr="00B522CC">
        <w:rPr>
          <w:rFonts w:cs="Times New Roman"/>
          <w:i/>
          <w:sz w:val="23"/>
          <w:szCs w:val="23"/>
          <w:lang w:val="ro-RO"/>
        </w:rPr>
        <w:t>Sophoi</w:t>
      </w:r>
      <w:r w:rsidRPr="00B522CC">
        <w:rPr>
          <w:rFonts w:cs="Times New Roman"/>
          <w:sz w:val="23"/>
          <w:szCs w:val="23"/>
          <w:lang w:val="ro-RO"/>
        </w:rPr>
        <w:t xml:space="preserve"> erau gnosticii creştini, cei care ajunseseră a fi după chipul şi asemănarea Logos-ului, atât cât este omeneşte posibil. În viziunea lui Clement, Logos-ul se relaţionează diferit cu fiecare dintre aceste categorii. Pentru </w:t>
      </w:r>
      <w:r w:rsidRPr="00B522CC">
        <w:rPr>
          <w:rFonts w:cs="Times New Roman"/>
          <w:i/>
          <w:sz w:val="23"/>
          <w:szCs w:val="23"/>
          <w:lang w:val="ro-RO"/>
        </w:rPr>
        <w:t>phauloi</w:t>
      </w:r>
      <w:r w:rsidRPr="00B522CC">
        <w:rPr>
          <w:rFonts w:cs="Times New Roman"/>
          <w:sz w:val="23"/>
          <w:szCs w:val="23"/>
          <w:lang w:val="ro-RO"/>
        </w:rPr>
        <w:t xml:space="preserve"> Logos-ul este </w:t>
      </w:r>
      <w:r w:rsidRPr="00B522CC">
        <w:rPr>
          <w:rFonts w:cs="Times New Roman"/>
          <w:i/>
          <w:sz w:val="23"/>
          <w:szCs w:val="23"/>
          <w:lang w:val="ro-RO"/>
        </w:rPr>
        <w:t>protreptikos</w:t>
      </w:r>
      <w:r w:rsidRPr="00B522CC">
        <w:rPr>
          <w:rFonts w:cs="Times New Roman"/>
          <w:sz w:val="23"/>
          <w:szCs w:val="23"/>
          <w:lang w:val="ro-RO"/>
        </w:rPr>
        <w:t xml:space="preserve"> sau predicator, El invită la Sine toate neamurile Pământului. Pentru </w:t>
      </w:r>
      <w:r w:rsidRPr="00B522CC">
        <w:rPr>
          <w:rFonts w:cs="Times New Roman"/>
          <w:i/>
          <w:sz w:val="23"/>
          <w:szCs w:val="23"/>
          <w:lang w:val="ro-RO"/>
        </w:rPr>
        <w:t>prokopoi</w:t>
      </w:r>
      <w:r w:rsidRPr="00B522CC">
        <w:rPr>
          <w:rFonts w:cs="Times New Roman"/>
          <w:sz w:val="23"/>
          <w:szCs w:val="23"/>
          <w:lang w:val="ro-RO"/>
        </w:rPr>
        <w:t xml:space="preserve"> este </w:t>
      </w:r>
      <w:r w:rsidRPr="00B522CC">
        <w:rPr>
          <w:rFonts w:cs="Times New Roman"/>
          <w:i/>
          <w:sz w:val="23"/>
          <w:szCs w:val="23"/>
          <w:lang w:val="ro-RO"/>
        </w:rPr>
        <w:t>paidagogos</w:t>
      </w:r>
      <w:r w:rsidRPr="00B522CC">
        <w:rPr>
          <w:rFonts w:cs="Times New Roman"/>
          <w:sz w:val="23"/>
          <w:szCs w:val="23"/>
          <w:lang w:val="ro-RO"/>
        </w:rPr>
        <w:t xml:space="preserve"> sau instructor, iar pentru </w:t>
      </w:r>
      <w:r w:rsidRPr="00B522CC">
        <w:rPr>
          <w:rFonts w:cs="Times New Roman"/>
          <w:i/>
          <w:sz w:val="23"/>
          <w:szCs w:val="23"/>
          <w:lang w:val="ro-RO"/>
        </w:rPr>
        <w:t>sophoi</w:t>
      </w:r>
      <w:r w:rsidRPr="00B522CC">
        <w:rPr>
          <w:rFonts w:cs="Times New Roman"/>
          <w:sz w:val="23"/>
          <w:szCs w:val="23"/>
          <w:lang w:val="ro-RO"/>
        </w:rPr>
        <w:t xml:space="preserve"> este </w:t>
      </w:r>
      <w:r w:rsidRPr="00B522CC">
        <w:rPr>
          <w:rFonts w:cs="Times New Roman"/>
          <w:i/>
          <w:sz w:val="23"/>
          <w:szCs w:val="23"/>
          <w:lang w:val="ro-RO"/>
        </w:rPr>
        <w:t>didaskalos</w:t>
      </w:r>
      <w:r w:rsidRPr="00B522CC">
        <w:rPr>
          <w:rFonts w:cs="Times New Roman"/>
          <w:sz w:val="23"/>
          <w:szCs w:val="23"/>
          <w:lang w:val="ro-RO"/>
        </w:rPr>
        <w:t xml:space="preserve">, ei necesitând o îndrumare generală. Condiţia gnosticului nu este statică, ci este o experienţă dinamică de cunoaştere. Cele trei mari lucrări ale lui Clement: </w:t>
      </w:r>
      <w:r w:rsidRPr="00B522CC">
        <w:rPr>
          <w:rFonts w:cs="Times New Roman"/>
          <w:i/>
          <w:sz w:val="23"/>
          <w:szCs w:val="23"/>
          <w:lang w:val="ro-RO"/>
        </w:rPr>
        <w:t>Protreptikul, Pedagogul şi Stromatele</w:t>
      </w:r>
      <w:r w:rsidRPr="00B522CC">
        <w:rPr>
          <w:rFonts w:cs="Times New Roman"/>
          <w:sz w:val="23"/>
          <w:szCs w:val="23"/>
          <w:lang w:val="ro-RO"/>
        </w:rPr>
        <w:t xml:space="preserve"> corespund acestor trei categorii. Referirile la Sfânta</w:t>
      </w:r>
      <w:r w:rsidRPr="00B522CC">
        <w:rPr>
          <w:rFonts w:cs="Times New Roman"/>
          <w:b/>
          <w:sz w:val="23"/>
          <w:szCs w:val="23"/>
          <w:lang w:val="ro-RO"/>
        </w:rPr>
        <w:t xml:space="preserve"> </w:t>
      </w:r>
      <w:r w:rsidRPr="00B522CC">
        <w:rPr>
          <w:rFonts w:cs="Times New Roman"/>
          <w:sz w:val="23"/>
          <w:szCs w:val="23"/>
          <w:lang w:val="ro-RO"/>
        </w:rPr>
        <w:t>Euharistie sunt făcute în cele trei lucrări în funcţie de gradul de cunoaştere şi viaţă spirituală ale categoriilor amintite, cărora le sunt destinate lucrările în ansamblul lor.</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 xml:space="preserve">În </w:t>
      </w:r>
      <w:r w:rsidRPr="00B522CC">
        <w:rPr>
          <w:rFonts w:cs="Times New Roman"/>
          <w:i/>
          <w:sz w:val="23"/>
          <w:szCs w:val="23"/>
          <w:lang w:val="ro-RO"/>
        </w:rPr>
        <w:t>Protreptic</w:t>
      </w:r>
      <w:r w:rsidRPr="00B522CC">
        <w:rPr>
          <w:rFonts w:cs="Times New Roman"/>
          <w:sz w:val="23"/>
          <w:szCs w:val="23"/>
          <w:lang w:val="ro-RO"/>
        </w:rPr>
        <w:t xml:space="preserve"> sau</w:t>
      </w:r>
      <w:r w:rsidRPr="00B522CC">
        <w:rPr>
          <w:rFonts w:cs="Times New Roman"/>
          <w:b/>
          <w:sz w:val="23"/>
          <w:szCs w:val="23"/>
          <w:lang w:val="ro-RO"/>
        </w:rPr>
        <w:t xml:space="preserve"> </w:t>
      </w:r>
      <w:r w:rsidRPr="00B522CC">
        <w:rPr>
          <w:rFonts w:cs="Times New Roman"/>
          <w:i/>
          <w:sz w:val="23"/>
          <w:szCs w:val="23"/>
          <w:lang w:val="ro-RO"/>
        </w:rPr>
        <w:t>Cuvânt către elini</w:t>
      </w:r>
      <w:r w:rsidRPr="00B522CC">
        <w:rPr>
          <w:rFonts w:cs="Times New Roman"/>
          <w:sz w:val="23"/>
          <w:szCs w:val="23"/>
          <w:lang w:val="ro-RO"/>
        </w:rPr>
        <w:t xml:space="preserve"> există, spre final, o referinţă la Sfintele Taine „de iniţiere”, unde ni se oferă şi informaţii generale despre cult, inclusiv participarea unor fecioare:</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„Vino, o omule, (...). Îţi voi arăta Cuvântul şi tainele Cuvântului (...). Avem şi noi un munte iubit de Dumnezeu, dar pe acesta nu se reprezintă tragedii, ca pe muntele Citheron, ci-i hărăzit dramelor adevărului, dramelor credinţei celei adevărate (...) fiicele lui Dumnezeu, mieluşelele cele frumoase, care vestesc sfintele ceremonii ale Cuvântului, alcătuind un cor plin de cuminţenie. Corul e format din drepţi, iar cântecul este imn pentru Împăratul Universului. Fecioarele cântă psalmi, îngerii slăvesc, profeţii grăiesc, sunet de muzică se răspândeşte (...). O, taine, cu adevărat sfinte! O lumină, cu totul curată! Făcliile mă luminează, ca să contemplu cerurile, să contemplu pe Dumnezeu. Fiind iniţiat</w:t>
      </w:r>
      <w:r w:rsidRPr="00B522CC">
        <w:rPr>
          <w:rStyle w:val="FootnoteReference"/>
          <w:rFonts w:cs="Times New Roman"/>
          <w:sz w:val="23"/>
          <w:szCs w:val="23"/>
          <w:lang w:val="ro-RO"/>
        </w:rPr>
        <w:footnoteReference w:id="100"/>
      </w:r>
      <w:r w:rsidRPr="00B522CC">
        <w:rPr>
          <w:rFonts w:cs="Times New Roman"/>
          <w:sz w:val="23"/>
          <w:szCs w:val="23"/>
          <w:lang w:val="ro-RO"/>
        </w:rPr>
        <w:t>, ajung sfânt. Domnul este Marele Preot; şi Domnul, luminând pe cel iniţiat, îl pecetluieşte; îl încredinţează Tatălui pe cel ce a crezut, ca să-l păstreze în veci. Acestea sunt ceremoniile bahice ale misterelor mele! Dacă vrei, iniţiază-te şi tu şi vei dănţui împreună cu îngerii în jurul unicului şi adevăratului Dumnezeu, Cel nenăscut şi fără de moarte; împreună cu noi cântă şi Cuvântul lui Dumnezeu. Acest veşnic Iisus, singurul mare Arhiereu al unicului Dumnezeu, Care este şi Tatăl Lui, el se roagă pentru oameni şi-i încurajează, zicându-le: «Veniţi, seminţii nenumărate!» (...). Mă dăruiesc pe Mine în întregime şi desăvârşit”</w:t>
      </w:r>
      <w:r w:rsidRPr="00B522CC">
        <w:rPr>
          <w:rStyle w:val="FootnoteReference"/>
          <w:rFonts w:cs="Times New Roman"/>
          <w:sz w:val="23"/>
          <w:szCs w:val="23"/>
          <w:lang w:val="ro-RO"/>
        </w:rPr>
        <w:footnoteReference w:id="101"/>
      </w:r>
      <w:r w:rsidRPr="00B522CC">
        <w:rPr>
          <w:rFonts w:cs="Times New Roman"/>
          <w:sz w:val="23"/>
          <w:szCs w:val="23"/>
          <w:lang w:val="ro-RO"/>
        </w:rPr>
        <w:t xml:space="preserve">. În conformitate cu </w:t>
      </w:r>
      <w:r w:rsidRPr="00B522CC">
        <w:rPr>
          <w:rFonts w:cs="Times New Roman"/>
          <w:i/>
          <w:sz w:val="23"/>
          <w:szCs w:val="23"/>
          <w:lang w:val="ro-RO"/>
        </w:rPr>
        <w:t>disciplina arcană</w:t>
      </w:r>
      <w:r w:rsidRPr="00B522CC">
        <w:rPr>
          <w:rFonts w:cs="Times New Roman"/>
          <w:sz w:val="23"/>
          <w:szCs w:val="23"/>
          <w:lang w:val="ro-RO"/>
        </w:rPr>
        <w:t xml:space="preserve"> se fac doar aluzii la Sfintele Taine, iniţierea prin Botez, apoi pecetea Duhului Sfânt, relaţia specială cu Tatăl dobândită prin înfiere, de asemenea, Clement aşează în gura Mântuitorului, Cel care cheamă la Sine toate neamurile, şi cuvintele „Mă dăruiesc pe Mine în întregime şi desăvârşit”, care trimit, fără echivoc, la Sfânta Euharistie.</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 xml:space="preserve">În </w:t>
      </w:r>
      <w:r w:rsidRPr="00B522CC">
        <w:rPr>
          <w:rFonts w:cs="Times New Roman"/>
          <w:i/>
          <w:sz w:val="23"/>
          <w:szCs w:val="23"/>
          <w:lang w:val="ro-RO"/>
        </w:rPr>
        <w:t>Pedagogul</w:t>
      </w:r>
      <w:r w:rsidRPr="00B522CC">
        <w:rPr>
          <w:rFonts w:cs="Times New Roman"/>
          <w:sz w:val="23"/>
          <w:szCs w:val="23"/>
          <w:lang w:val="ro-RO"/>
        </w:rPr>
        <w:t>,</w:t>
      </w:r>
      <w:r w:rsidRPr="00B522CC">
        <w:rPr>
          <w:rFonts w:cs="Times New Roman"/>
          <w:b/>
          <w:sz w:val="23"/>
          <w:szCs w:val="23"/>
          <w:lang w:val="ro-RO"/>
        </w:rPr>
        <w:t xml:space="preserve"> </w:t>
      </w:r>
      <w:r w:rsidRPr="00B522CC">
        <w:rPr>
          <w:rFonts w:cs="Times New Roman"/>
          <w:sz w:val="23"/>
          <w:szCs w:val="23"/>
          <w:lang w:val="ro-RO"/>
        </w:rPr>
        <w:t xml:space="preserve">se găsesc mai multe referiri la Sfânta Euharistie, deoarece autorul se adresează celor care au fost botezaţi şi înaintează spre </w:t>
      </w:r>
      <w:r w:rsidRPr="00B522CC">
        <w:rPr>
          <w:rFonts w:cs="Times New Roman"/>
          <w:i/>
          <w:sz w:val="23"/>
          <w:szCs w:val="23"/>
          <w:lang w:val="ro-RO"/>
        </w:rPr>
        <w:t>gnosis</w:t>
      </w:r>
      <w:r w:rsidRPr="00B522CC">
        <w:rPr>
          <w:rFonts w:cs="Times New Roman"/>
          <w:sz w:val="23"/>
          <w:szCs w:val="23"/>
          <w:lang w:val="ro-RO"/>
        </w:rPr>
        <w:t>. Tollinton a menţionat că dascălul alexandrin se referă la Sfânta Euharistie în sens tehnic şi într-un sens general</w:t>
      </w:r>
      <w:r w:rsidRPr="00B522CC">
        <w:rPr>
          <w:rStyle w:val="FootnoteReference"/>
          <w:rFonts w:cs="Times New Roman"/>
          <w:sz w:val="23"/>
          <w:szCs w:val="23"/>
          <w:lang w:val="ro-RO"/>
        </w:rPr>
        <w:footnoteReference w:id="102"/>
      </w:r>
      <w:r w:rsidRPr="00B522CC">
        <w:rPr>
          <w:rFonts w:cs="Times New Roman"/>
          <w:sz w:val="23"/>
          <w:szCs w:val="23"/>
          <w:lang w:val="ro-RO"/>
        </w:rPr>
        <w:t>. În sens tehnic a scris despre Sfânta Euharistie ca despre un ritual al Bisericii, cu menţionarea directă a pâinii şi a vinului în contextul în care îndeamnă la cumpătare: „A binecuvântat vinul şi a spus: « Luaţi, beţi, acesta este sângele Meu» - că sângele viţei de vie este în chip simbolic Cuvântul - «care pentru mulţi se varsă spre iertarea păcatelor»</w:t>
      </w:r>
      <w:r w:rsidRPr="00B522CC">
        <w:rPr>
          <w:rStyle w:val="FootnoteReference"/>
          <w:rFonts w:cs="Times New Roman"/>
          <w:sz w:val="23"/>
          <w:szCs w:val="23"/>
          <w:lang w:val="ro-RO"/>
        </w:rPr>
        <w:footnoteReference w:id="103"/>
      </w:r>
      <w:r w:rsidRPr="00B522CC">
        <w:rPr>
          <w:rFonts w:cs="Times New Roman"/>
          <w:sz w:val="23"/>
          <w:szCs w:val="23"/>
          <w:lang w:val="ro-RO"/>
        </w:rPr>
        <w:t>. Cuvântul este fântâna sfântă a bucuriei”</w:t>
      </w:r>
      <w:r w:rsidRPr="00B522CC">
        <w:rPr>
          <w:rStyle w:val="FootnoteReference"/>
          <w:rFonts w:cs="Times New Roman"/>
          <w:sz w:val="23"/>
          <w:szCs w:val="23"/>
          <w:lang w:val="ro-RO"/>
        </w:rPr>
        <w:footnoteReference w:id="104"/>
      </w:r>
      <w:r w:rsidRPr="00B522CC">
        <w:rPr>
          <w:rFonts w:cs="Times New Roman"/>
          <w:sz w:val="23"/>
          <w:szCs w:val="23"/>
          <w:lang w:val="ro-RO"/>
        </w:rPr>
        <w:t xml:space="preserve">. Când vorbeşte despre atitudinea creştinului în priviţa consumului de vin, discursul lui Clement devine o lecţie despre Euharistie şi, de fapt, întreaga viaţă a creştinului trebuie să fie o Euharistie, aşa cum Sfânta Euharistie are o dimensiune etică, şi viaţa creştină are o dimensiune sacramentală. „Mai târziu, via cea sfântă a rodit strugurele profetic. Acesta este semn pentru cei conduşi de la rătăcire la odihnă; este marele strugure, Cuvântul cel strivit pentru noi; căci Cuvântul a voit ca sângele strugurelui să se amestece cu apa, aşa precum sângele Lui se amestecă cu mântuirea. Sângele </w:t>
      </w:r>
      <w:r w:rsidRPr="00B522CC">
        <w:rPr>
          <w:rFonts w:cs="Times New Roman"/>
          <w:sz w:val="23"/>
          <w:szCs w:val="23"/>
          <w:lang w:val="ro-RO"/>
        </w:rPr>
        <w:lastRenderedPageBreak/>
        <w:t>Domnului este dublu: unul este sângele Lui trupesc, prin care ne-am izbăvit de stricăciune; celălalt este sângele lui cel duhovnicesc</w:t>
      </w:r>
      <w:r w:rsidRPr="00B522CC">
        <w:rPr>
          <w:rStyle w:val="FootnoteReference"/>
          <w:rFonts w:cs="Times New Roman"/>
          <w:sz w:val="23"/>
          <w:szCs w:val="23"/>
          <w:lang w:val="ro-RO"/>
        </w:rPr>
        <w:footnoteReference w:id="105"/>
      </w:r>
      <w:r w:rsidRPr="00B522CC">
        <w:rPr>
          <w:rFonts w:cs="Times New Roman"/>
          <w:sz w:val="23"/>
          <w:szCs w:val="23"/>
          <w:lang w:val="ro-RO"/>
        </w:rPr>
        <w:t>, adică acela cu care suntem unşi. A bea sângele lui Iisus înseamnă a te împărtăşi cu nemurirea Domnului. Duhul este tăria Cuvântului, precum sângele este tăria trupului. În chip analog, vinul se amestecă cu apa, iar Duhul cu omul; unul, amestecul de vin cu apă, hrăneşte spre credinţă; celălalt, Duhul, conduce spre nemurire; şi iarăşi, amestecul celor două, a băuturii şi a Cuvântului, se cheamă euharistie, har lăudat şi frumos; iar cei care se împărtăşesc cu credinţă îşi sfinţesc şi trupul şi sufletul, pentru că voinţa Tatălui amestecă în chip tainic, cu Duhul şi cu Cuvântul, acest amestec dumnezeiesc, care este omul. Şi într-adevăr, Duhul s-a unit cu sufletul purtat de El, iar trupul s-a unit cu Cuvântul; că din pricina trupului «Cuvântul S-a făcut trup»”</w:t>
      </w:r>
      <w:r w:rsidRPr="00B522CC">
        <w:rPr>
          <w:rStyle w:val="FootnoteReference"/>
          <w:rFonts w:cs="Times New Roman"/>
          <w:sz w:val="23"/>
          <w:szCs w:val="23"/>
          <w:lang w:val="ro-RO"/>
        </w:rPr>
        <w:footnoteReference w:id="106"/>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 xml:space="preserve">Relaţia dintre Sfânta Euharistie şi viaţa creştină este o expresie a viziunii lui Clement despre Euharistia ca </w:t>
      </w:r>
      <w:r w:rsidRPr="00B522CC">
        <w:rPr>
          <w:rFonts w:cs="Times New Roman"/>
          <w:i/>
          <w:sz w:val="23"/>
          <w:szCs w:val="23"/>
          <w:lang w:val="ro-RO"/>
        </w:rPr>
        <w:t xml:space="preserve">gnosis </w:t>
      </w:r>
      <w:r w:rsidRPr="00B522CC">
        <w:rPr>
          <w:rFonts w:cs="Times New Roman"/>
          <w:sz w:val="23"/>
          <w:szCs w:val="23"/>
          <w:lang w:val="ro-RO"/>
        </w:rPr>
        <w:t>şi</w:t>
      </w:r>
      <w:r w:rsidRPr="00B522CC">
        <w:rPr>
          <w:rFonts w:cs="Times New Roman"/>
          <w:i/>
          <w:sz w:val="23"/>
          <w:szCs w:val="23"/>
          <w:lang w:val="ro-RO"/>
        </w:rPr>
        <w:t xml:space="preserve"> </w:t>
      </w:r>
      <w:r w:rsidRPr="00B522CC">
        <w:rPr>
          <w:rFonts w:cs="Times New Roman"/>
          <w:sz w:val="23"/>
          <w:szCs w:val="23"/>
          <w:lang w:val="ro-RO"/>
        </w:rPr>
        <w:t>ca modalitate de instruire. „Scriptura spune: «Şi mânzul l-a legat de viţa de vie»</w:t>
      </w:r>
      <w:r w:rsidRPr="00B522CC">
        <w:rPr>
          <w:rStyle w:val="FootnoteReference"/>
          <w:rFonts w:cs="Times New Roman"/>
          <w:sz w:val="23"/>
          <w:szCs w:val="23"/>
          <w:lang w:val="ro-RO"/>
        </w:rPr>
        <w:footnoteReference w:id="107"/>
      </w:r>
      <w:r w:rsidRPr="00B522CC">
        <w:rPr>
          <w:rFonts w:cs="Times New Roman"/>
          <w:sz w:val="23"/>
          <w:szCs w:val="23"/>
          <w:lang w:val="ro-RO"/>
        </w:rPr>
        <w:t xml:space="preserve">; a legat acest popor gingaş şi tânăr de Cuvânt, care simbolic înseamnă </w:t>
      </w:r>
      <w:r w:rsidRPr="00B522CC">
        <w:rPr>
          <w:rFonts w:cs="Times New Roman"/>
          <w:i/>
          <w:sz w:val="23"/>
          <w:szCs w:val="23"/>
          <w:lang w:val="ro-RO"/>
        </w:rPr>
        <w:t>viţa de vie</w:t>
      </w:r>
      <w:r w:rsidRPr="00B522CC">
        <w:rPr>
          <w:rStyle w:val="FootnoteReference"/>
          <w:rFonts w:cs="Times New Roman"/>
          <w:i/>
          <w:sz w:val="23"/>
          <w:szCs w:val="23"/>
          <w:lang w:val="ro-RO"/>
        </w:rPr>
        <w:footnoteReference w:id="108"/>
      </w:r>
      <w:r w:rsidRPr="00B522CC">
        <w:rPr>
          <w:rFonts w:cs="Times New Roman"/>
          <w:sz w:val="23"/>
          <w:szCs w:val="23"/>
          <w:lang w:val="ro-RO"/>
        </w:rPr>
        <w:t>; via dă vin, după cum Cuvântul dă sânge; şi unul şi altul sunt pentru oameni băutură spre mântuire; vinul pentru trup, sângele pentru duh”</w:t>
      </w:r>
      <w:r w:rsidRPr="00B522CC">
        <w:rPr>
          <w:rStyle w:val="FootnoteReference"/>
          <w:rFonts w:cs="Times New Roman"/>
          <w:sz w:val="23"/>
          <w:szCs w:val="23"/>
          <w:lang w:val="ro-RO"/>
        </w:rPr>
        <w:footnoteReference w:id="109"/>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 xml:space="preserve">Tot în </w:t>
      </w:r>
      <w:r w:rsidRPr="00B522CC">
        <w:rPr>
          <w:rFonts w:cs="Times New Roman"/>
          <w:i/>
          <w:sz w:val="23"/>
          <w:szCs w:val="23"/>
          <w:lang w:val="ro-RO"/>
        </w:rPr>
        <w:t>Pedagogul</w:t>
      </w:r>
      <w:r w:rsidRPr="00B522CC">
        <w:rPr>
          <w:rFonts w:cs="Times New Roman"/>
          <w:sz w:val="23"/>
          <w:szCs w:val="23"/>
          <w:lang w:val="ro-RO"/>
        </w:rPr>
        <w:t xml:space="preserve">, pentru a conexa Sfânta Euharistie cu creşterea duhovnicească şi cunoaşterea, Clement interpretează </w:t>
      </w:r>
      <w:r w:rsidRPr="00B522CC">
        <w:rPr>
          <w:rFonts w:cs="Times New Roman"/>
          <w:i/>
          <w:sz w:val="23"/>
          <w:szCs w:val="23"/>
          <w:lang w:val="ro-RO"/>
        </w:rPr>
        <w:t>In</w:t>
      </w:r>
      <w:r w:rsidRPr="00B522CC">
        <w:rPr>
          <w:rFonts w:cs="Times New Roman"/>
          <w:sz w:val="23"/>
          <w:szCs w:val="23"/>
          <w:lang w:val="ro-RO"/>
        </w:rPr>
        <w:t xml:space="preserve">. 6 împreună cu </w:t>
      </w:r>
      <w:r w:rsidRPr="00B522CC">
        <w:rPr>
          <w:rFonts w:cs="Times New Roman"/>
          <w:i/>
          <w:sz w:val="23"/>
          <w:szCs w:val="23"/>
          <w:lang w:val="ro-RO"/>
        </w:rPr>
        <w:t xml:space="preserve">1 Cor </w:t>
      </w:r>
      <w:r w:rsidRPr="00B522CC">
        <w:rPr>
          <w:rFonts w:cs="Times New Roman"/>
          <w:sz w:val="23"/>
          <w:szCs w:val="23"/>
          <w:lang w:val="ro-RO"/>
        </w:rPr>
        <w:t>3, 1-3; compară sângele Cuvântului cu laptele, faţă de care nicio hrană nu poate fi mai hrănitoare, mai dulce şi mai albă. „Hrana cea duhovnicească se aseamănă în totul cu laptele; este dulce din pricina harului, care este în ea; este hrănitoare, pentru că este viaţă; este albă, pentru că este ziua lui Hristos”</w:t>
      </w:r>
      <w:r w:rsidRPr="00B522CC">
        <w:rPr>
          <w:rStyle w:val="FootnoteReference"/>
          <w:rFonts w:cs="Times New Roman"/>
          <w:sz w:val="23"/>
          <w:szCs w:val="23"/>
          <w:lang w:val="ro-RO"/>
        </w:rPr>
        <w:footnoteReference w:id="110"/>
      </w:r>
      <w:r w:rsidRPr="00B522CC">
        <w:rPr>
          <w:rFonts w:cs="Times New Roman"/>
          <w:sz w:val="23"/>
          <w:szCs w:val="23"/>
          <w:lang w:val="ro-RO"/>
        </w:rPr>
        <w:t>. Şi, după cum sânii materni nu sunt ca izvoarele, plini cu lapte, care curge gata pregătit, ci, în mod minunat, prefac sângele în hrană, în mod şi mai minunat Domnul devine „hrană duhovnicească pentru cei virtuoşi, când Tatăl cel iubitor de oameni a făcut să cadă, ca o ploaie în lume, cuvântul Său”</w:t>
      </w:r>
      <w:r w:rsidRPr="00B522CC">
        <w:rPr>
          <w:rStyle w:val="FootnoteReference"/>
          <w:rFonts w:cs="Times New Roman"/>
          <w:sz w:val="23"/>
          <w:szCs w:val="23"/>
          <w:lang w:val="ro-RO"/>
        </w:rPr>
        <w:footnoteReference w:id="111"/>
      </w:r>
      <w:r w:rsidRPr="00B522CC">
        <w:rPr>
          <w:rFonts w:cs="Times New Roman"/>
          <w:sz w:val="23"/>
          <w:szCs w:val="23"/>
          <w:lang w:val="ro-RO"/>
        </w:rPr>
        <w:t>. Citim apoi laude minunate la adresa Fecioarei Maria, singura fecioară şi mamă deopotrivă, numită Biserică: „(...) şi-mi place să o numesc Biserică (...) Ea a hrănit cu Cuvântul pe poporul cel tânăr, pe care Însuşi Domnul l-a născut cu dureri trupeşti</w:t>
      </w:r>
      <w:r w:rsidRPr="00B522CC">
        <w:rPr>
          <w:rStyle w:val="FootnoteReference"/>
          <w:rFonts w:cs="Times New Roman"/>
          <w:sz w:val="23"/>
          <w:szCs w:val="23"/>
          <w:lang w:val="ro-RO"/>
        </w:rPr>
        <w:footnoteReference w:id="112"/>
      </w:r>
      <w:r w:rsidRPr="00B522CC">
        <w:rPr>
          <w:rFonts w:cs="Times New Roman"/>
          <w:sz w:val="23"/>
          <w:szCs w:val="23"/>
          <w:lang w:val="ro-RO"/>
        </w:rPr>
        <w:t>, pe care Însuşi l-a înfăţişat cu scumpul Lui sânge. O naşteri sfinte! O, scutece sfinte! Cuvântul este totul pentru copil: şi Tată şi Mamă şi Pedagog şi Hrănitor. Că spune El: «Mâncaţi trupul Meu şi beţi sângele Meu!»</w:t>
      </w:r>
      <w:r w:rsidRPr="00B522CC">
        <w:rPr>
          <w:rStyle w:val="FootnoteReference"/>
          <w:rFonts w:cs="Times New Roman"/>
          <w:sz w:val="23"/>
          <w:szCs w:val="23"/>
          <w:lang w:val="ro-RO"/>
        </w:rPr>
        <w:footnoteReference w:id="113"/>
      </w:r>
      <w:r w:rsidRPr="00B522CC">
        <w:rPr>
          <w:rFonts w:cs="Times New Roman"/>
          <w:sz w:val="23"/>
          <w:szCs w:val="23"/>
          <w:lang w:val="ro-RO"/>
        </w:rPr>
        <w:t>. Această mâncare, pe care numai el poate s-o dea, ne-o oferă Domnul: ne dă trupul Său şi varsă sângele Său. Nimic nu lipseşte copiilor ca să poată creşte!”</w:t>
      </w:r>
      <w:r w:rsidRPr="00B522CC">
        <w:rPr>
          <w:rStyle w:val="FootnoteReference"/>
          <w:rFonts w:cs="Times New Roman"/>
          <w:sz w:val="23"/>
          <w:szCs w:val="23"/>
          <w:lang w:val="ro-RO"/>
        </w:rPr>
        <w:footnoteReference w:id="114"/>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 xml:space="preserve">Cei numiţi </w:t>
      </w:r>
      <w:r w:rsidRPr="00B522CC">
        <w:rPr>
          <w:rFonts w:cs="Times New Roman"/>
          <w:i/>
          <w:sz w:val="23"/>
          <w:szCs w:val="23"/>
          <w:lang w:val="ro-RO"/>
        </w:rPr>
        <w:t>prokopoi</w:t>
      </w:r>
      <w:r w:rsidRPr="00B522CC">
        <w:rPr>
          <w:rFonts w:cs="Times New Roman"/>
          <w:sz w:val="23"/>
          <w:szCs w:val="23"/>
          <w:lang w:val="ro-RO"/>
        </w:rPr>
        <w:t xml:space="preserve"> trebuie să fie într-o permanentă legătură cu Cuvântul pentru a se curăţi de patimi şi a se împărtăşi de adevăr şi de nemurire: „(...) trupul Domnului, pâinea cerurilor, absoarbe sângele şi hrăneşte spre nestricăciune pe cei care sunt cereşti dintre oameni şi lasă spre stricăciune numai poftele cele trupeşti. Astfel, alegoric, Cuvântul este numit în multe chipuri: şi mâncare şi trup şi hrană şi pâine şi sânge şi lapte. Domnul este toate acestea spre desfătarea noastră, a celor ce credem în El”</w:t>
      </w:r>
      <w:r w:rsidRPr="00B522CC">
        <w:rPr>
          <w:rStyle w:val="FootnoteReference"/>
          <w:rFonts w:cs="Times New Roman"/>
          <w:sz w:val="23"/>
          <w:szCs w:val="23"/>
          <w:lang w:val="ro-RO"/>
        </w:rPr>
        <w:footnoteReference w:id="115"/>
      </w:r>
      <w:r w:rsidRPr="00B522CC">
        <w:rPr>
          <w:rFonts w:cs="Times New Roman"/>
          <w:sz w:val="23"/>
          <w:szCs w:val="23"/>
          <w:lang w:val="ro-RO"/>
        </w:rPr>
        <w:t>. Creştinii trebuie să se dezvolte spiritual prin primirea Euharistiei şi prin aplicarea unui ethos euharistic întregii lor vieţi. Referindu-se la cuvintele: „</w:t>
      </w:r>
      <w:r w:rsidRPr="00B522CC">
        <w:rPr>
          <w:rFonts w:cs="Times New Roman"/>
          <w:i/>
          <w:sz w:val="23"/>
          <w:szCs w:val="23"/>
          <w:lang w:val="ro-RO"/>
        </w:rPr>
        <w:t xml:space="preserve">Cu </w:t>
      </w:r>
      <w:r w:rsidRPr="00B522CC">
        <w:rPr>
          <w:rFonts w:cs="Times New Roman"/>
          <w:i/>
          <w:sz w:val="23"/>
          <w:szCs w:val="23"/>
          <w:lang w:val="ro-RO"/>
        </w:rPr>
        <w:lastRenderedPageBreak/>
        <w:t xml:space="preserve">lapte v-am hrănit, nu cu bucate; că încă nu puteţi” </w:t>
      </w:r>
      <w:r w:rsidRPr="00B522CC">
        <w:rPr>
          <w:rFonts w:cs="Times New Roman"/>
          <w:sz w:val="23"/>
          <w:szCs w:val="23"/>
          <w:lang w:val="ro-RO"/>
        </w:rPr>
        <w:t>(1 Cor. 3, 2), Clement arată mai întâi că laptele şi bucatele sunt identice prin natura lor, „la fel şi Cuvîntul este acelaşi, fie că e curgător şi dulce ca laptele, fie că e tare şi strâns ca bucatele. Nu numai atât; prin «</w:t>
      </w:r>
      <w:r w:rsidRPr="00B522CC">
        <w:rPr>
          <w:rFonts w:cs="Times New Roman"/>
          <w:i/>
          <w:sz w:val="23"/>
          <w:szCs w:val="23"/>
          <w:lang w:val="ro-RO"/>
        </w:rPr>
        <w:t>lapte</w:t>
      </w:r>
      <w:r w:rsidRPr="00B522CC">
        <w:rPr>
          <w:rFonts w:cs="Times New Roman"/>
          <w:sz w:val="23"/>
          <w:szCs w:val="23"/>
          <w:lang w:val="ro-RO"/>
        </w:rPr>
        <w:t>» se poate înţelege şi predica, pentru că predica se revarsă pe o mare întindere, iar prin «</w:t>
      </w:r>
      <w:r w:rsidRPr="00B522CC">
        <w:rPr>
          <w:rFonts w:cs="Times New Roman"/>
          <w:i/>
          <w:sz w:val="23"/>
          <w:szCs w:val="23"/>
          <w:lang w:val="ro-RO"/>
        </w:rPr>
        <w:t>bucate</w:t>
      </w:r>
      <w:r w:rsidRPr="00B522CC">
        <w:rPr>
          <w:rFonts w:cs="Times New Roman"/>
          <w:sz w:val="23"/>
          <w:szCs w:val="23"/>
          <w:lang w:val="ro-RO"/>
        </w:rPr>
        <w:t>», se poate înţelege credinţa, pentru că e strânsă ca o temelie, datorită catehezei; căci credinţa, odată ce pătrunde în suflet, se aseamănă cu bucatele, pentru că este mai tare decât predica. De o mâncare ca aceasta a vorbit dealtfel şi Domnul prin simboluri în Evanghelia după Ioan, când a zis: «</w:t>
      </w:r>
      <w:r w:rsidRPr="00B522CC">
        <w:rPr>
          <w:rFonts w:cs="Times New Roman"/>
          <w:i/>
          <w:sz w:val="23"/>
          <w:szCs w:val="23"/>
          <w:lang w:val="ro-RO"/>
        </w:rPr>
        <w:t>Mâncaţi trupul Meu şi beţi sângele Meu</w:t>
      </w:r>
      <w:r w:rsidRPr="00B522CC">
        <w:rPr>
          <w:rFonts w:cs="Times New Roman"/>
          <w:sz w:val="23"/>
          <w:szCs w:val="23"/>
          <w:lang w:val="ro-RO"/>
        </w:rPr>
        <w:t>!»</w:t>
      </w:r>
      <w:r w:rsidRPr="00B522CC">
        <w:rPr>
          <w:rStyle w:val="FootnoteReference"/>
          <w:rFonts w:cs="Times New Roman"/>
          <w:sz w:val="23"/>
          <w:szCs w:val="23"/>
          <w:lang w:val="ro-RO"/>
        </w:rPr>
        <w:footnoteReference w:id="116"/>
      </w:r>
      <w:r w:rsidRPr="00B522CC">
        <w:rPr>
          <w:rFonts w:cs="Times New Roman"/>
          <w:i/>
          <w:sz w:val="23"/>
          <w:szCs w:val="23"/>
          <w:lang w:val="ro-RO"/>
        </w:rPr>
        <w:t xml:space="preserve">. </w:t>
      </w:r>
      <w:r w:rsidRPr="00B522CC">
        <w:rPr>
          <w:rFonts w:cs="Times New Roman"/>
          <w:sz w:val="23"/>
          <w:szCs w:val="23"/>
          <w:lang w:val="ro-RO"/>
        </w:rPr>
        <w:t>Prin mâncare şi băutură a arătat simbolic realitatea evidentă a credinţei şi a făgăduinţei”</w:t>
      </w:r>
      <w:r w:rsidRPr="00B522CC">
        <w:rPr>
          <w:rStyle w:val="FootnoteReference"/>
          <w:rFonts w:cs="Times New Roman"/>
          <w:sz w:val="23"/>
          <w:szCs w:val="23"/>
          <w:lang w:val="ro-RO"/>
        </w:rPr>
        <w:footnoteReference w:id="117"/>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i/>
          <w:sz w:val="23"/>
          <w:szCs w:val="23"/>
          <w:lang w:val="ro-RO"/>
        </w:rPr>
        <w:t>Stromatele</w:t>
      </w:r>
      <w:r w:rsidRPr="00B522CC">
        <w:rPr>
          <w:rFonts w:cs="Times New Roman"/>
          <w:b/>
          <w:sz w:val="23"/>
          <w:szCs w:val="23"/>
          <w:lang w:val="ro-RO"/>
        </w:rPr>
        <w:t xml:space="preserve"> </w:t>
      </w:r>
      <w:r w:rsidRPr="00B522CC">
        <w:rPr>
          <w:rFonts w:cs="Times New Roman"/>
          <w:sz w:val="23"/>
          <w:szCs w:val="23"/>
          <w:lang w:val="ro-RO"/>
        </w:rPr>
        <w:t xml:space="preserve">au fost scrise pentru </w:t>
      </w:r>
      <w:r w:rsidRPr="00B522CC">
        <w:rPr>
          <w:rFonts w:cs="Times New Roman"/>
          <w:i/>
          <w:sz w:val="23"/>
          <w:szCs w:val="23"/>
          <w:lang w:val="ro-RO"/>
        </w:rPr>
        <w:t>sophoi</w:t>
      </w:r>
      <w:r w:rsidRPr="00B522CC">
        <w:rPr>
          <w:rFonts w:cs="Times New Roman"/>
          <w:sz w:val="23"/>
          <w:szCs w:val="23"/>
          <w:lang w:val="ro-RO"/>
        </w:rPr>
        <w:t>, pentru gnosticii creştini. În această lucrare se fac puţine referiri la Euharistie, dar se începe cu o paralelă între pregătirea pentru primirea cu vrednicie a Euharistiei şi pregătirea pentru a deveni un învăţăţel vrednic. Preocuparea acestuia din urmă trebuie să fie primirea hranei atât prin pâine cât şi prin cuvinte</w:t>
      </w:r>
      <w:r w:rsidRPr="00B522CC">
        <w:rPr>
          <w:rStyle w:val="FootnoteReference"/>
          <w:rFonts w:cs="Times New Roman"/>
          <w:sz w:val="23"/>
          <w:szCs w:val="23"/>
          <w:lang w:val="ro-RO"/>
        </w:rPr>
        <w:footnoteReference w:id="118"/>
      </w:r>
      <w:r w:rsidRPr="00B522CC">
        <w:rPr>
          <w:rFonts w:cs="Times New Roman"/>
          <w:sz w:val="23"/>
          <w:szCs w:val="23"/>
          <w:lang w:val="ro-RO"/>
        </w:rPr>
        <w:t xml:space="preserve">. Clement afirmă necesitatea pâinii euharistice şi a învăţăturii, cu toate că vine un timp în evoluţia celor numiţi </w:t>
      </w:r>
      <w:r w:rsidRPr="00B522CC">
        <w:rPr>
          <w:rFonts w:cs="Times New Roman"/>
          <w:i/>
          <w:sz w:val="23"/>
          <w:szCs w:val="23"/>
          <w:lang w:val="ro-RO"/>
        </w:rPr>
        <w:t>sophoi</w:t>
      </w:r>
      <w:r w:rsidRPr="00B522CC">
        <w:rPr>
          <w:rFonts w:cs="Times New Roman"/>
          <w:sz w:val="23"/>
          <w:szCs w:val="23"/>
          <w:lang w:val="ro-RO"/>
        </w:rPr>
        <w:t xml:space="preserve"> când chiar şi cuvintele sunt depăşite, deoarece „Dumnezeul universului, Cel Care-i mai presus de orice cuvânt, mai presus de orice gând, mai presus de orice idee, nicicând nu poate fi cuprins în scris, pentru că-i negrăit prin puterea Lui”</w:t>
      </w:r>
      <w:r w:rsidRPr="00B522CC">
        <w:rPr>
          <w:rStyle w:val="FootnoteReference"/>
          <w:rFonts w:cs="Times New Roman"/>
          <w:sz w:val="23"/>
          <w:szCs w:val="23"/>
          <w:lang w:val="ro-RO"/>
        </w:rPr>
        <w:footnoteReference w:id="119"/>
      </w:r>
      <w:r w:rsidRPr="00B522CC">
        <w:rPr>
          <w:rFonts w:cs="Times New Roman"/>
          <w:sz w:val="23"/>
          <w:szCs w:val="23"/>
          <w:lang w:val="ro-RO"/>
        </w:rPr>
        <w:t xml:space="preserve">. Textul din </w:t>
      </w:r>
      <w:r w:rsidRPr="00B522CC">
        <w:rPr>
          <w:rFonts w:cs="Times New Roman"/>
          <w:i/>
          <w:sz w:val="23"/>
          <w:szCs w:val="23"/>
          <w:lang w:val="ro-RO"/>
        </w:rPr>
        <w:t xml:space="preserve">Stromate </w:t>
      </w:r>
      <w:r w:rsidRPr="00B522CC">
        <w:rPr>
          <w:rFonts w:cs="Times New Roman"/>
          <w:sz w:val="23"/>
          <w:szCs w:val="23"/>
          <w:lang w:val="ro-RO"/>
        </w:rPr>
        <w:t xml:space="preserve">5, 10 conţine principala referire la Sfânta Euharistie. Aici se tratează despre Tainele dumnezeieşti şi natura lor ascunsă. Limbajul euharistic este folosit pentru a se arăta cum poate dobândi cineva cunoaşterea tainelor ascunse. Este citat Sfântul Apostol Pavel care spune că voia lui Dumnezeu se face cunoscută prin revelaţie (Rm. 16, 25-26). Primele elemente au fost oferite celor numiţi </w:t>
      </w:r>
      <w:r w:rsidRPr="00B522CC">
        <w:rPr>
          <w:rFonts w:cs="Times New Roman"/>
          <w:i/>
          <w:sz w:val="23"/>
          <w:szCs w:val="23"/>
          <w:lang w:val="ro-RO"/>
        </w:rPr>
        <w:t>prokopoi</w:t>
      </w:r>
      <w:r w:rsidRPr="00B522CC">
        <w:rPr>
          <w:rFonts w:cs="Times New Roman"/>
          <w:sz w:val="23"/>
          <w:szCs w:val="23"/>
          <w:lang w:val="ro-RO"/>
        </w:rPr>
        <w:t xml:space="preserve"> în </w:t>
      </w:r>
      <w:r w:rsidRPr="00B522CC">
        <w:rPr>
          <w:rFonts w:cs="Times New Roman"/>
          <w:i/>
          <w:sz w:val="23"/>
          <w:szCs w:val="23"/>
          <w:lang w:val="ro-RO"/>
        </w:rPr>
        <w:t>Pedagogul</w:t>
      </w:r>
      <w:r w:rsidRPr="00B522CC">
        <w:rPr>
          <w:rFonts w:cs="Times New Roman"/>
          <w:sz w:val="23"/>
          <w:szCs w:val="23"/>
          <w:lang w:val="ro-RO"/>
        </w:rPr>
        <w:t xml:space="preserve">, de aceea, acum este timpul de a purcede spre perfecţiune. </w:t>
      </w:r>
      <w:r w:rsidRPr="00B522CC">
        <w:rPr>
          <w:rFonts w:cs="Times New Roman"/>
          <w:i/>
          <w:sz w:val="23"/>
          <w:szCs w:val="23"/>
          <w:lang w:val="ro-RO"/>
        </w:rPr>
        <w:t>Stromatele</w:t>
      </w:r>
      <w:r w:rsidRPr="00B522CC">
        <w:rPr>
          <w:rFonts w:cs="Times New Roman"/>
          <w:b/>
          <w:sz w:val="23"/>
          <w:szCs w:val="23"/>
          <w:lang w:val="ro-RO"/>
        </w:rPr>
        <w:t xml:space="preserve"> </w:t>
      </w:r>
      <w:r w:rsidRPr="00B522CC">
        <w:rPr>
          <w:rFonts w:cs="Times New Roman"/>
          <w:sz w:val="23"/>
          <w:szCs w:val="23"/>
          <w:lang w:val="ro-RO"/>
        </w:rPr>
        <w:t xml:space="preserve">reprezintă chiar efortul lui Clement de a comunica drumul spre perfecţiune. Dacă în </w:t>
      </w:r>
      <w:r w:rsidRPr="00B522CC">
        <w:rPr>
          <w:rFonts w:cs="Times New Roman"/>
          <w:i/>
          <w:sz w:val="23"/>
          <w:szCs w:val="23"/>
          <w:lang w:val="ro-RO"/>
        </w:rPr>
        <w:t>Pedagogul</w:t>
      </w:r>
      <w:r w:rsidRPr="00B522CC">
        <w:rPr>
          <w:rFonts w:cs="Times New Roman"/>
          <w:b/>
          <w:sz w:val="23"/>
          <w:szCs w:val="23"/>
          <w:lang w:val="ro-RO"/>
        </w:rPr>
        <w:t xml:space="preserve"> </w:t>
      </w:r>
      <w:r w:rsidRPr="00B522CC">
        <w:rPr>
          <w:rFonts w:cs="Times New Roman"/>
          <w:sz w:val="23"/>
          <w:szCs w:val="23"/>
          <w:lang w:val="ro-RO"/>
        </w:rPr>
        <w:t xml:space="preserve">se folosise limbajul euharistic pentru a aduce lămuriri despre viaţa vremelnică, în </w:t>
      </w:r>
      <w:r w:rsidRPr="00B522CC">
        <w:rPr>
          <w:rFonts w:cs="Times New Roman"/>
          <w:i/>
          <w:sz w:val="23"/>
          <w:szCs w:val="23"/>
          <w:lang w:val="ro-RO"/>
        </w:rPr>
        <w:t xml:space="preserve">Stromate </w:t>
      </w:r>
      <w:r w:rsidRPr="00B522CC">
        <w:rPr>
          <w:rFonts w:cs="Times New Roman"/>
          <w:sz w:val="23"/>
          <w:szCs w:val="23"/>
          <w:lang w:val="ro-RO"/>
        </w:rPr>
        <w:t>este folosit pentru a clarifica aspecte ale vieţii duhovniceşti</w:t>
      </w:r>
      <w:r w:rsidRPr="00B522CC">
        <w:rPr>
          <w:rStyle w:val="FootnoteReference"/>
          <w:rFonts w:cs="Times New Roman"/>
          <w:sz w:val="23"/>
          <w:szCs w:val="23"/>
          <w:lang w:val="ro-RO"/>
        </w:rPr>
        <w:footnoteReference w:id="120"/>
      </w:r>
      <w:r w:rsidRPr="00B522CC">
        <w:rPr>
          <w:rFonts w:cs="Times New Roman"/>
          <w:sz w:val="23"/>
          <w:szCs w:val="23"/>
          <w:lang w:val="ro-RO"/>
        </w:rPr>
        <w:t>. Referindu-se la cuvintele Sfîntului Apostol Pavel: „</w:t>
      </w:r>
      <w:r w:rsidRPr="00B522CC">
        <w:rPr>
          <w:rFonts w:cs="Times New Roman"/>
          <w:i/>
          <w:sz w:val="23"/>
          <w:szCs w:val="23"/>
          <w:lang w:val="ro-RO"/>
        </w:rPr>
        <w:t>Şi eu, fraţilor, n-am putut să vă grăiesc vouă ca unor oameni duhovniceşti, ci ca unora trupeşti, ca unor prunci în Hristos. Cu lapte v-am hrănit, că încă nu puteaţi; dar nici acuma nu puteţi; că încă sunteţi trupeşti”</w:t>
      </w:r>
      <w:r w:rsidRPr="00B522CC">
        <w:rPr>
          <w:rStyle w:val="FootnoteReference"/>
          <w:rFonts w:cs="Times New Roman"/>
          <w:i/>
          <w:sz w:val="23"/>
          <w:szCs w:val="23"/>
          <w:lang w:val="ro-RO"/>
        </w:rPr>
        <w:footnoteReference w:id="121"/>
      </w:r>
      <w:r w:rsidRPr="00B522CC">
        <w:rPr>
          <w:rFonts w:cs="Times New Roman"/>
          <w:sz w:val="23"/>
          <w:szCs w:val="23"/>
          <w:lang w:val="ro-RO"/>
        </w:rPr>
        <w:t>, Clement scrie: „Deci, dacă Apostolul a numit laptele hrană pentru prunci, iar mâncarea hrană tare pentru cei desăvârşiţi</w:t>
      </w:r>
      <w:r w:rsidRPr="00B522CC">
        <w:rPr>
          <w:rStyle w:val="FootnoteReference"/>
          <w:rFonts w:cs="Times New Roman"/>
          <w:sz w:val="23"/>
          <w:szCs w:val="23"/>
          <w:lang w:val="ro-RO"/>
        </w:rPr>
        <w:footnoteReference w:id="122"/>
      </w:r>
      <w:r w:rsidRPr="00B522CC">
        <w:rPr>
          <w:rFonts w:cs="Times New Roman"/>
          <w:sz w:val="23"/>
          <w:szCs w:val="23"/>
          <w:lang w:val="ro-RO"/>
        </w:rPr>
        <w:t xml:space="preserve">, atunci se va înţelege că laptele este cateheza, cea dintâi hrană a sufletului, iar hrana tare, contemplaţia în cel mai înalt grad de iniţiere - </w:t>
      </w:r>
      <w:r w:rsidRPr="00B522CC">
        <w:rPr>
          <w:rFonts w:cs="Times New Roman"/>
          <w:i/>
          <w:sz w:val="23"/>
          <w:szCs w:val="23"/>
          <w:lang w:val="ro-RO"/>
        </w:rPr>
        <w:t>broma de he epoptike theoria</w:t>
      </w:r>
      <w:r w:rsidRPr="00B522CC">
        <w:rPr>
          <w:rFonts w:cs="Times New Roman"/>
          <w:sz w:val="23"/>
          <w:szCs w:val="23"/>
          <w:lang w:val="ro-RO"/>
        </w:rPr>
        <w:t>. Este trupul şi sângele Cuvântului-</w:t>
      </w:r>
      <w:r w:rsidRPr="00B522CC">
        <w:rPr>
          <w:rFonts w:cs="Times New Roman"/>
          <w:i/>
          <w:sz w:val="23"/>
          <w:szCs w:val="23"/>
          <w:lang w:val="ro-RO"/>
        </w:rPr>
        <w:t xml:space="preserve"> sarkes autai kai aima tou Logou</w:t>
      </w:r>
      <w:r w:rsidRPr="00B522CC">
        <w:rPr>
          <w:rFonts w:cs="Times New Roman"/>
          <w:sz w:val="23"/>
          <w:szCs w:val="23"/>
          <w:lang w:val="ro-RO"/>
        </w:rPr>
        <w:t xml:space="preserve">, adică înţelegerea puterii şi a fiinţei dumnezeieşti- </w:t>
      </w:r>
      <w:r w:rsidRPr="00B522CC">
        <w:rPr>
          <w:rFonts w:cs="Times New Roman"/>
          <w:i/>
          <w:sz w:val="23"/>
          <w:szCs w:val="23"/>
          <w:lang w:val="ro-RO"/>
        </w:rPr>
        <w:t xml:space="preserve">toutesti katalepsis tes theias dynameos kai ousias. </w:t>
      </w:r>
      <w:r w:rsidRPr="00B522CC">
        <w:rPr>
          <w:rFonts w:cs="Times New Roman"/>
          <w:sz w:val="23"/>
          <w:szCs w:val="23"/>
          <w:lang w:val="ro-RO"/>
        </w:rPr>
        <w:t>«Gustaţi şi vedeţi, că bun este Domnul»</w:t>
      </w:r>
      <w:r w:rsidRPr="00B522CC">
        <w:rPr>
          <w:rStyle w:val="FootnoteReference"/>
          <w:rFonts w:cs="Times New Roman"/>
          <w:sz w:val="23"/>
          <w:szCs w:val="23"/>
          <w:lang w:val="ro-RO"/>
        </w:rPr>
        <w:footnoteReference w:id="123"/>
      </w:r>
      <w:r w:rsidRPr="00B522CC">
        <w:rPr>
          <w:rFonts w:cs="Times New Roman"/>
          <w:sz w:val="23"/>
          <w:szCs w:val="23"/>
          <w:lang w:val="ro-RO"/>
        </w:rPr>
        <w:t xml:space="preserve"> spune Scriptura. Că aşa Se dă pe El însuşi Domnul celor care se împărtăşesc mai duhovniceşte cu o mâncare ca aceasta, când însuşi sufletul, după cum spune Platon, prietenul adevărului, se hrăneşte singur</w:t>
      </w:r>
      <w:r w:rsidRPr="00B522CC">
        <w:rPr>
          <w:rStyle w:val="FootnoteReference"/>
          <w:rFonts w:cs="Times New Roman"/>
          <w:sz w:val="23"/>
          <w:szCs w:val="23"/>
          <w:lang w:val="ro-RO"/>
        </w:rPr>
        <w:footnoteReference w:id="124"/>
      </w:r>
      <w:r w:rsidRPr="00B522CC">
        <w:rPr>
          <w:rFonts w:cs="Times New Roman"/>
          <w:sz w:val="23"/>
          <w:szCs w:val="23"/>
          <w:lang w:val="ro-RO"/>
        </w:rPr>
        <w:t xml:space="preserve">. Mâncare şi băutură a dumnezeiescului Cuvânt este cunoaşterea fiinţei dumnezeieşti- </w:t>
      </w:r>
      <w:r w:rsidRPr="00B522CC">
        <w:rPr>
          <w:rFonts w:cs="Times New Roman"/>
          <w:i/>
          <w:sz w:val="23"/>
          <w:szCs w:val="23"/>
          <w:lang w:val="ro-RO"/>
        </w:rPr>
        <w:t>brosis gar kai posis tou theiou Logou he gnosis esti tes Theias ousias.</w:t>
      </w:r>
      <w:r w:rsidRPr="00B522CC">
        <w:rPr>
          <w:rFonts w:cs="Times New Roman"/>
          <w:sz w:val="23"/>
          <w:szCs w:val="23"/>
          <w:lang w:val="ro-RO"/>
        </w:rPr>
        <w:t xml:space="preserve"> De aceea şi Platon spune în cartea a doua a lucrării sale </w:t>
      </w:r>
      <w:r w:rsidRPr="00B522CC">
        <w:rPr>
          <w:rFonts w:cs="Times New Roman"/>
          <w:i/>
          <w:sz w:val="23"/>
          <w:szCs w:val="23"/>
          <w:lang w:val="ro-RO"/>
        </w:rPr>
        <w:t>Statul</w:t>
      </w:r>
      <w:r w:rsidRPr="00B522CC">
        <w:rPr>
          <w:rFonts w:cs="Times New Roman"/>
          <w:sz w:val="23"/>
          <w:szCs w:val="23"/>
          <w:lang w:val="ro-RO"/>
        </w:rPr>
        <w:t>: «Nu trebuie să ne apucăm a face cercetări despre Dumnezeu după ce am jertfit un porc, ci după ce am jertfit ceva mare şi preţios»</w:t>
      </w:r>
      <w:r w:rsidRPr="00B522CC">
        <w:rPr>
          <w:rStyle w:val="FootnoteReference"/>
          <w:rFonts w:cs="Times New Roman"/>
          <w:sz w:val="23"/>
          <w:szCs w:val="23"/>
          <w:lang w:val="ro-RO"/>
        </w:rPr>
        <w:footnoteReference w:id="125"/>
      </w:r>
      <w:r w:rsidRPr="00B522CC">
        <w:rPr>
          <w:rFonts w:cs="Times New Roman"/>
          <w:sz w:val="23"/>
          <w:szCs w:val="23"/>
          <w:lang w:val="ro-RO"/>
        </w:rPr>
        <w:t>. Iar Apostolul scrie: «</w:t>
      </w:r>
      <w:r w:rsidRPr="00B522CC">
        <w:rPr>
          <w:rFonts w:cs="Times New Roman"/>
          <w:i/>
          <w:sz w:val="23"/>
          <w:szCs w:val="23"/>
          <w:lang w:val="ro-RO"/>
        </w:rPr>
        <w:t>Că Paştele nostru, Hristos, S-a jertfit pentru noi</w:t>
      </w:r>
      <w:r w:rsidRPr="00B522CC">
        <w:rPr>
          <w:rFonts w:cs="Times New Roman"/>
          <w:sz w:val="23"/>
          <w:szCs w:val="23"/>
          <w:lang w:val="ro-RO"/>
        </w:rPr>
        <w:t>»</w:t>
      </w:r>
      <w:r w:rsidRPr="00B522CC">
        <w:rPr>
          <w:rStyle w:val="FootnoteReference"/>
          <w:rFonts w:cs="Times New Roman"/>
          <w:sz w:val="23"/>
          <w:szCs w:val="23"/>
          <w:lang w:val="ro-RO"/>
        </w:rPr>
        <w:footnoteReference w:id="126"/>
      </w:r>
      <w:r w:rsidRPr="00B522CC">
        <w:rPr>
          <w:rFonts w:cs="Times New Roman"/>
          <w:sz w:val="23"/>
          <w:szCs w:val="23"/>
          <w:lang w:val="ro-RO"/>
        </w:rPr>
        <w:t>; într-adevăr este jertfă preţioasă Fiul lui Dumnezeu, Care S-a sfinţit pentru noi</w:t>
      </w:r>
      <w:r w:rsidRPr="00B522CC">
        <w:rPr>
          <w:rStyle w:val="FootnoteReference"/>
          <w:rFonts w:cs="Times New Roman"/>
          <w:sz w:val="23"/>
          <w:szCs w:val="23"/>
          <w:lang w:val="ro-RO"/>
        </w:rPr>
        <w:footnoteReference w:id="127"/>
      </w:r>
      <w:r w:rsidRPr="00B522CC">
        <w:rPr>
          <w:rFonts w:cs="Times New Roman"/>
          <w:sz w:val="23"/>
          <w:szCs w:val="23"/>
          <w:lang w:val="ro-RO"/>
        </w:rPr>
        <w:t xml:space="preserve">. Iar jertfă - </w:t>
      </w:r>
      <w:r w:rsidRPr="00B522CC">
        <w:rPr>
          <w:rFonts w:cs="Times New Roman"/>
          <w:i/>
          <w:sz w:val="23"/>
          <w:szCs w:val="23"/>
          <w:lang w:val="ro-RO"/>
        </w:rPr>
        <w:t>thysia</w:t>
      </w:r>
      <w:r w:rsidRPr="00B522CC">
        <w:rPr>
          <w:rFonts w:cs="Times New Roman"/>
          <w:sz w:val="23"/>
          <w:szCs w:val="23"/>
          <w:lang w:val="ro-RO"/>
        </w:rPr>
        <w:t xml:space="preserve"> primită de Dumnezeu</w:t>
      </w:r>
      <w:r w:rsidRPr="00B522CC">
        <w:rPr>
          <w:rStyle w:val="FootnoteReference"/>
          <w:rFonts w:cs="Times New Roman"/>
          <w:sz w:val="23"/>
          <w:szCs w:val="23"/>
          <w:lang w:val="ro-RO"/>
        </w:rPr>
        <w:footnoteReference w:id="128"/>
      </w:r>
      <w:r w:rsidRPr="00B522CC">
        <w:rPr>
          <w:rFonts w:cs="Times New Roman"/>
          <w:sz w:val="23"/>
          <w:szCs w:val="23"/>
          <w:lang w:val="ro-RO"/>
        </w:rPr>
        <w:t xml:space="preserve"> este despărţirea, de care să nu-ţi pară rău- </w:t>
      </w:r>
      <w:r w:rsidRPr="00B522CC">
        <w:rPr>
          <w:rFonts w:cs="Times New Roman"/>
          <w:i/>
          <w:sz w:val="23"/>
          <w:szCs w:val="23"/>
          <w:lang w:val="ro-RO"/>
        </w:rPr>
        <w:lastRenderedPageBreak/>
        <w:t>ametanoetos</w:t>
      </w:r>
      <w:r w:rsidRPr="00B522CC">
        <w:rPr>
          <w:rFonts w:cs="Times New Roman"/>
          <w:sz w:val="23"/>
          <w:szCs w:val="23"/>
          <w:lang w:val="ro-RO"/>
        </w:rPr>
        <w:t>, a sufletului de patimile (</w:t>
      </w:r>
      <w:r w:rsidRPr="00B522CC">
        <w:rPr>
          <w:rFonts w:cs="Times New Roman"/>
          <w:i/>
          <w:sz w:val="23"/>
          <w:szCs w:val="23"/>
          <w:lang w:val="ro-RO"/>
        </w:rPr>
        <w:t xml:space="preserve">pathon) </w:t>
      </w:r>
      <w:r w:rsidRPr="00B522CC">
        <w:rPr>
          <w:rFonts w:cs="Times New Roman"/>
          <w:sz w:val="23"/>
          <w:szCs w:val="23"/>
          <w:lang w:val="ro-RO"/>
        </w:rPr>
        <w:t>sale. Aceasta este într-adevăr adevărata cinstire de Dumnezeu”</w:t>
      </w:r>
      <w:r w:rsidRPr="00B522CC">
        <w:rPr>
          <w:rStyle w:val="FootnoteReference"/>
          <w:rFonts w:cs="Times New Roman"/>
          <w:sz w:val="23"/>
          <w:szCs w:val="23"/>
          <w:lang w:val="ro-RO"/>
        </w:rPr>
        <w:footnoteReference w:id="129"/>
      </w:r>
      <w:r w:rsidRPr="00B522CC">
        <w:rPr>
          <w:rFonts w:cs="Times New Roman"/>
          <w:sz w:val="23"/>
          <w:szCs w:val="23"/>
          <w:lang w:val="ro-RO"/>
        </w:rPr>
        <w:t xml:space="preserve">. Am citat acest text </w:t>
      </w:r>
      <w:r w:rsidRPr="00B522CC">
        <w:rPr>
          <w:rFonts w:cs="Times New Roman"/>
          <w:i/>
          <w:sz w:val="23"/>
          <w:szCs w:val="23"/>
          <w:lang w:val="ro-RO"/>
        </w:rPr>
        <w:t>in extenso</w:t>
      </w:r>
      <w:r w:rsidRPr="00B522CC">
        <w:rPr>
          <w:rFonts w:cs="Times New Roman"/>
          <w:sz w:val="23"/>
          <w:szCs w:val="23"/>
          <w:lang w:val="ro-RO"/>
        </w:rPr>
        <w:t xml:space="preserve"> datorită frumuseţii şi complexităţii lui. În mod magistral avem aici exprimată relaţia dintre cunoaştere, Sfânta Euharistie, şi intrarea în stare de jertfă curată prin renunţarea la patimi, care duce la cunoaşterea lui Dumnezeu. Theognosia nu este o simplă operaţie intelectuală independentă de starea morală a „cercetătorului”. Este nevoie de o jertfă pentru cunoaştere. Hristos Domnul ne-a cuprins pe toţi în starea Sa de jertfă curată care face posibilă cunoaşterea lui Dumnezeu, comuniunea cu Sfânta Treime. Aspectul ontologic al răscumpărării implică restaurarea integrală a firii umane, implicit a facultăţilor cognitive în general şi a celor </w:t>
      </w:r>
      <w:r w:rsidRPr="00B522CC">
        <w:rPr>
          <w:rFonts w:cs="Times New Roman"/>
          <w:i/>
          <w:sz w:val="23"/>
          <w:szCs w:val="23"/>
          <w:lang w:val="ro-RO"/>
        </w:rPr>
        <w:t xml:space="preserve">theognosice </w:t>
      </w:r>
      <w:r w:rsidRPr="00B522CC">
        <w:rPr>
          <w:rFonts w:cs="Times New Roman"/>
          <w:sz w:val="23"/>
          <w:szCs w:val="23"/>
          <w:lang w:val="ro-RO"/>
        </w:rPr>
        <w:t>în special. Rămâne de cercetat ce a înţeles autorul când a scris: „Este trupul şi sângele Cuvântului-</w:t>
      </w:r>
      <w:r w:rsidRPr="00B522CC">
        <w:rPr>
          <w:rFonts w:cs="Times New Roman"/>
          <w:i/>
          <w:sz w:val="23"/>
          <w:szCs w:val="23"/>
          <w:lang w:val="ro-RO"/>
        </w:rPr>
        <w:t xml:space="preserve"> sarkes autai kai aima tou Logou</w:t>
      </w:r>
      <w:r w:rsidRPr="00B522CC">
        <w:rPr>
          <w:rFonts w:cs="Times New Roman"/>
          <w:sz w:val="23"/>
          <w:szCs w:val="23"/>
          <w:lang w:val="ro-RO"/>
        </w:rPr>
        <w:t xml:space="preserve">, adică înţelegerea puterii şi a fiinţei dumnezeieşti- </w:t>
      </w:r>
      <w:r w:rsidRPr="00B522CC">
        <w:rPr>
          <w:rFonts w:cs="Times New Roman"/>
          <w:i/>
          <w:sz w:val="23"/>
          <w:szCs w:val="23"/>
          <w:lang w:val="ro-RO"/>
        </w:rPr>
        <w:t xml:space="preserve">toutesti katalepsis tes theias dynameos kai ousias. </w:t>
      </w:r>
      <w:r w:rsidRPr="00B522CC">
        <w:rPr>
          <w:rFonts w:cs="Times New Roman"/>
          <w:sz w:val="23"/>
          <w:szCs w:val="23"/>
          <w:lang w:val="ro-RO"/>
        </w:rPr>
        <w:t>(</w:t>
      </w:r>
      <w:r w:rsidRPr="00B522CC">
        <w:rPr>
          <w:rFonts w:cs="Times New Roman"/>
          <w:i/>
          <w:sz w:val="23"/>
          <w:szCs w:val="23"/>
          <w:lang w:val="ro-RO"/>
        </w:rPr>
        <w:t>...</w:t>
      </w:r>
      <w:r w:rsidRPr="00B522CC">
        <w:rPr>
          <w:rFonts w:cs="Times New Roman"/>
          <w:sz w:val="23"/>
          <w:szCs w:val="23"/>
          <w:lang w:val="ro-RO"/>
        </w:rPr>
        <w:t>)</w:t>
      </w:r>
      <w:r w:rsidRPr="00B522CC">
        <w:rPr>
          <w:rFonts w:cs="Times New Roman"/>
          <w:i/>
          <w:sz w:val="23"/>
          <w:szCs w:val="23"/>
          <w:lang w:val="ro-RO"/>
        </w:rPr>
        <w:t xml:space="preserve"> </w:t>
      </w:r>
      <w:r w:rsidRPr="00B522CC">
        <w:rPr>
          <w:rFonts w:cs="Times New Roman"/>
          <w:sz w:val="23"/>
          <w:szCs w:val="23"/>
          <w:lang w:val="ro-RO"/>
        </w:rPr>
        <w:t xml:space="preserve">„Mâncare şi băutură a dumnezeiescului Cuvânt este cunoaşterea fiinţei dumnezeieşti- </w:t>
      </w:r>
      <w:r w:rsidRPr="00B522CC">
        <w:rPr>
          <w:rFonts w:cs="Times New Roman"/>
          <w:i/>
          <w:sz w:val="23"/>
          <w:szCs w:val="23"/>
          <w:lang w:val="ro-RO"/>
        </w:rPr>
        <w:t>brosis gar kai posis tou theiou Logou he gnosis esti tes Theias ousias”.</w:t>
      </w:r>
      <w:r w:rsidRPr="00B522CC">
        <w:rPr>
          <w:rFonts w:cs="Times New Roman"/>
          <w:sz w:val="23"/>
          <w:szCs w:val="23"/>
          <w:lang w:val="ro-RO"/>
        </w:rPr>
        <w:t xml:space="preserve"> „Înţelegerea” şi „cunoaşterea” fiinţei lui Dumnezeu nu pot aparţine, la modul propriu, celor create.</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Considerăm că autorul, având o profundă înţelegere a Sfintei Euharistii s-a referit la realitatea prezenţei lui Hristos în Sfintele Daruri, la imposibilitatea despărţirii Persoanei de cele două firi, precum şi a firilor între ele. Chiar dacă ne aflăm cu aproape trei sute de ani înainte de Sinodul al IV-lea ecumenic de la Calcedon (451) când se va afirma că cele două firi, dumnezeiască şi omenească sunt unite în unica Persoană a Logos-ului în mod „neîmpărţit şi nedespărţit, neamestecat şi neschimbat”, nu înseamnă că ceea ce s-a stabilit formal la Calcedon, ca răspuns la erezia lui Eutihie, nu era mai înainte experiat de cei cu viaţă sfântă. Prin urmare, Sfânta Euharistie are caracter anamnetic, de jertfă şi de taină, este actualizarea jertfei de pe Golgota, dar şi posibilitatea împărtăşirii de ea. În Sfânta Euharistie ne împărtăşim mistic cu Hristos, Cel care este prezent integral, deci este şi o atingere de cele dumnezeieşti: „</w:t>
      </w:r>
      <w:r w:rsidRPr="00B522CC">
        <w:rPr>
          <w:rFonts w:cs="Times New Roman"/>
          <w:i/>
          <w:sz w:val="23"/>
          <w:szCs w:val="23"/>
          <w:lang w:val="ro-RO"/>
        </w:rPr>
        <w:t>Iată s-a atins de buzele tale şi va şterge fărădelegile tale şi de păcatele tale te va curăţi</w:t>
      </w:r>
      <w:r w:rsidRPr="00B522CC">
        <w:rPr>
          <w:rFonts w:cs="Times New Roman"/>
          <w:sz w:val="23"/>
          <w:szCs w:val="23"/>
          <w:lang w:val="ro-RO"/>
        </w:rPr>
        <w:t>.”, este „mâncare şi băutură a dumnezeiescului Cuvânt” care ne conduce la theognosie, aşa cum s-a întâmplat cu ucenicii pe drumul spre Emaus (Lc. 24).</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Ar fi de notat aici faptul că Vl. Lossky în cunoscuta sa lucrare:</w:t>
      </w:r>
      <w:r w:rsidRPr="00B522CC">
        <w:rPr>
          <w:rFonts w:cs="Times New Roman"/>
          <w:i/>
          <w:sz w:val="23"/>
          <w:szCs w:val="23"/>
          <w:lang w:val="ro-RO"/>
        </w:rPr>
        <w:t xml:space="preserve"> Vederea lui Dumnezeu</w:t>
      </w:r>
      <w:r w:rsidRPr="00B522CC">
        <w:rPr>
          <w:rFonts w:cs="Times New Roman"/>
          <w:sz w:val="23"/>
          <w:szCs w:val="23"/>
          <w:lang w:val="ro-RO"/>
        </w:rPr>
        <w:t>, în secţiunea dedicată lui Clement Alexandrinul</w:t>
      </w:r>
      <w:r w:rsidRPr="00B522CC">
        <w:rPr>
          <w:rStyle w:val="FootnoteReference"/>
          <w:rFonts w:cs="Times New Roman"/>
          <w:sz w:val="23"/>
          <w:szCs w:val="23"/>
          <w:lang w:val="ro-RO"/>
        </w:rPr>
        <w:footnoteReference w:id="130"/>
      </w:r>
      <w:r w:rsidRPr="00B522CC">
        <w:rPr>
          <w:rFonts w:cs="Times New Roman"/>
          <w:sz w:val="23"/>
          <w:szCs w:val="23"/>
          <w:lang w:val="ro-RO"/>
        </w:rPr>
        <w:t xml:space="preserve"> nu face nicio conexiune între cunoaşterea, vederea lui Dumnezeu şi Sfânta Euharistie, considerând că dascălul alexandrin aparţine prin accentul pe contemplare „unei mistici intelectualiste sau superintelectualiste”</w:t>
      </w:r>
      <w:r w:rsidRPr="00B522CC">
        <w:rPr>
          <w:rStyle w:val="FootnoteReference"/>
          <w:rFonts w:cs="Times New Roman"/>
          <w:sz w:val="23"/>
          <w:szCs w:val="23"/>
          <w:lang w:val="ro-RO"/>
        </w:rPr>
        <w:footnoteReference w:id="131"/>
      </w:r>
      <w:r w:rsidRPr="00B522CC">
        <w:rPr>
          <w:rFonts w:cs="Times New Roman"/>
          <w:sz w:val="23"/>
          <w:szCs w:val="23"/>
          <w:lang w:val="ro-RO"/>
        </w:rPr>
        <w:t>.</w:t>
      </w:r>
    </w:p>
    <w:p w:rsidR="00EE6A7E" w:rsidRPr="00B522CC" w:rsidRDefault="00EE6A7E" w:rsidP="00EE6A7E">
      <w:pPr>
        <w:ind w:firstLine="851"/>
        <w:jc w:val="both"/>
        <w:rPr>
          <w:rFonts w:cs="Times New Roman"/>
          <w:sz w:val="23"/>
          <w:szCs w:val="23"/>
          <w:lang w:val="ro-RO"/>
        </w:rPr>
      </w:pPr>
      <w:r w:rsidRPr="00B522CC">
        <w:rPr>
          <w:rFonts w:cs="Times New Roman"/>
          <w:sz w:val="23"/>
          <w:szCs w:val="23"/>
          <w:lang w:val="ro-RO"/>
        </w:rPr>
        <w:t>În concluzie, vom spune că nici un demers theognosic nu poate da roade dacă nu este însoţit de un permanent efort etic-ascetic în ambianţa mistic-sacramentală a Bisericii.</w:t>
      </w:r>
    </w:p>
    <w:p w:rsidR="00EE6A7E" w:rsidRPr="00B522CC" w:rsidRDefault="00EE6A7E" w:rsidP="00EE6A7E">
      <w:pPr>
        <w:ind w:firstLine="851"/>
        <w:jc w:val="both"/>
        <w:rPr>
          <w:rFonts w:cs="Times New Roman"/>
          <w:sz w:val="23"/>
          <w:szCs w:val="23"/>
          <w:lang w:val="ro-RO"/>
        </w:rPr>
      </w:pPr>
    </w:p>
    <w:p w:rsidR="00EE6A7E" w:rsidRDefault="00EE6A7E" w:rsidP="00EE6A7E"/>
    <w:p w:rsidR="0034512C" w:rsidRDefault="0034512C">
      <w:bookmarkStart w:id="0" w:name="_GoBack"/>
      <w:bookmarkEnd w:id="0"/>
    </w:p>
    <w:sectPr w:rsidR="0034512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5B4B" w:rsidRDefault="00345B4B" w:rsidP="00EE6A7E">
      <w:r>
        <w:separator/>
      </w:r>
    </w:p>
  </w:endnote>
  <w:endnote w:type="continuationSeparator" w:id="0">
    <w:p w:rsidR="00345B4B" w:rsidRDefault="00345B4B" w:rsidP="00EE6A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5B4B" w:rsidRDefault="00345B4B" w:rsidP="00EE6A7E">
      <w:r>
        <w:separator/>
      </w:r>
    </w:p>
  </w:footnote>
  <w:footnote w:type="continuationSeparator" w:id="0">
    <w:p w:rsidR="00345B4B" w:rsidRDefault="00345B4B" w:rsidP="00EE6A7E">
      <w:r>
        <w:continuationSeparator/>
      </w:r>
    </w:p>
  </w:footnote>
  <w:footnote w:id="1">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Nicholas Armitage, </w:t>
      </w:r>
      <w:r>
        <w:rPr>
          <w:sz w:val="20"/>
          <w:lang w:val="ro-RO"/>
        </w:rPr>
        <w:t>„</w:t>
      </w:r>
      <w:r w:rsidRPr="00E3718F">
        <w:rPr>
          <w:sz w:val="20"/>
          <w:lang w:val="ro-RO"/>
        </w:rPr>
        <w:t>Knowing and unknowing in Orthodox spirituality</w:t>
      </w:r>
      <w:r>
        <w:rPr>
          <w:sz w:val="20"/>
          <w:lang w:val="ro-RO"/>
        </w:rPr>
        <w:t>”</w:t>
      </w:r>
      <w:r w:rsidRPr="006A62D4">
        <w:rPr>
          <w:sz w:val="20"/>
          <w:lang w:val="ro-RO"/>
        </w:rPr>
        <w:t xml:space="preserve">, în: </w:t>
      </w:r>
      <w:r w:rsidRPr="00E3718F">
        <w:rPr>
          <w:i/>
          <w:sz w:val="20"/>
          <w:lang w:val="ro-RO"/>
        </w:rPr>
        <w:t>Sobornost</w:t>
      </w:r>
      <w:r w:rsidRPr="006A62D4">
        <w:rPr>
          <w:sz w:val="20"/>
          <w:lang w:val="ro-RO"/>
        </w:rPr>
        <w:t xml:space="preserve"> (incorporating Eastern Churches Review), vol. 22:1, 2000, p. 7.</w:t>
      </w:r>
    </w:p>
  </w:footnote>
  <w:footnote w:id="2">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w:t>
      </w:r>
    </w:p>
  </w:footnote>
  <w:footnote w:id="3">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Dialectica,</w:t>
      </w:r>
      <w:r w:rsidRPr="006A62D4">
        <w:rPr>
          <w:sz w:val="20"/>
          <w:lang w:val="ro-RO"/>
        </w:rPr>
        <w:t xml:space="preserve"> 3, la N. Armitage, </w:t>
      </w:r>
      <w:r w:rsidRPr="006A62D4">
        <w:rPr>
          <w:i/>
          <w:sz w:val="20"/>
          <w:lang w:val="ro-RO"/>
        </w:rPr>
        <w:t>op. cit.,</w:t>
      </w:r>
      <w:r w:rsidRPr="006A62D4">
        <w:rPr>
          <w:sz w:val="20"/>
          <w:lang w:val="ro-RO"/>
        </w:rPr>
        <w:t xml:space="preserve"> p. 9.</w:t>
      </w:r>
    </w:p>
  </w:footnote>
  <w:footnote w:id="4">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Prof. Acad. Dr. Dumitru Stăniloae, </w:t>
      </w:r>
      <w:r w:rsidRPr="006A62D4">
        <w:rPr>
          <w:i/>
          <w:sz w:val="20"/>
          <w:lang w:val="ro-RO"/>
        </w:rPr>
        <w:t>Studii de Teologie Dogmatică Ortodoxă</w:t>
      </w:r>
      <w:r w:rsidRPr="006A62D4">
        <w:rPr>
          <w:sz w:val="20"/>
          <w:lang w:val="ro-RO"/>
        </w:rPr>
        <w:t>, Ed. Mitropoliei Olteniei, Craiova, 1991, p. 163.</w:t>
      </w:r>
    </w:p>
  </w:footnote>
  <w:footnote w:id="5">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M. </w:t>
      </w:r>
      <w:r w:rsidRPr="006A62D4">
        <w:rPr>
          <w:sz w:val="20"/>
          <w:lang w:val="ro-RO"/>
        </w:rPr>
        <w:t xml:space="preserve">Heidegger, </w:t>
      </w:r>
      <w:r w:rsidRPr="006A62D4">
        <w:rPr>
          <w:i/>
          <w:sz w:val="20"/>
          <w:lang w:val="ro-RO"/>
        </w:rPr>
        <w:t>An Introduction to Metaphysics</w:t>
      </w:r>
      <w:r w:rsidRPr="006A62D4">
        <w:rPr>
          <w:sz w:val="20"/>
          <w:lang w:val="ro-RO"/>
        </w:rPr>
        <w:t>, New Haven and London, 1959, p. 178, sq.</w:t>
      </w:r>
    </w:p>
  </w:footnote>
  <w:footnote w:id="6">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T.F. </w:t>
      </w:r>
      <w:r w:rsidRPr="006A62D4">
        <w:rPr>
          <w:sz w:val="20"/>
          <w:lang w:val="ro-RO"/>
        </w:rPr>
        <w:t xml:space="preserve">Torrance, </w:t>
      </w:r>
      <w:r w:rsidRPr="006A62D4">
        <w:rPr>
          <w:i/>
          <w:sz w:val="20"/>
          <w:lang w:val="ro-RO"/>
        </w:rPr>
        <w:t>Transforming &amp; Convergence in the Frame of Knowledge</w:t>
      </w:r>
      <w:r w:rsidRPr="006A62D4">
        <w:rPr>
          <w:sz w:val="20"/>
          <w:lang w:val="ro-RO"/>
        </w:rPr>
        <w:t>, Edinburgh, 1982.</w:t>
      </w:r>
    </w:p>
  </w:footnote>
  <w:footnote w:id="7">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 xml:space="preserve">cap. </w:t>
      </w:r>
      <w:r>
        <w:rPr>
          <w:sz w:val="20"/>
          <w:lang w:val="ro-RO"/>
        </w:rPr>
        <w:t>„</w:t>
      </w:r>
      <w:r w:rsidRPr="00E3718F">
        <w:rPr>
          <w:sz w:val="20"/>
          <w:lang w:val="ro-RO"/>
        </w:rPr>
        <w:t>The Making of the „Modern” Mind from Descartes and Nwton to Kant</w:t>
      </w:r>
      <w:r>
        <w:rPr>
          <w:sz w:val="20"/>
          <w:lang w:val="ro-RO"/>
        </w:rPr>
        <w:t>”</w:t>
      </w:r>
      <w:r w:rsidRPr="00E3718F">
        <w:rPr>
          <w:sz w:val="20"/>
          <w:lang w:val="ro-RO"/>
        </w:rPr>
        <w:t xml:space="preserve">, </w:t>
      </w:r>
      <w:r w:rsidRPr="006A62D4">
        <w:rPr>
          <w:sz w:val="20"/>
          <w:lang w:val="ro-RO"/>
        </w:rPr>
        <w:t>p. 1.</w:t>
      </w:r>
    </w:p>
  </w:footnote>
  <w:footnote w:id="8">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2.</w:t>
      </w:r>
    </w:p>
  </w:footnote>
  <w:footnote w:id="9">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3; A se vedea şi excelenta analiză dintr-o altă lucrare editată de renumitului teolog T.F. Torrance</w:t>
      </w:r>
      <w:r w:rsidRPr="006A62D4">
        <w:rPr>
          <w:i/>
          <w:sz w:val="20"/>
          <w:lang w:val="ro-RO"/>
        </w:rPr>
        <w:t>: Belief in Science and in Christian Life. The Relevance of Michael Polanyi’s Thought for christian Faith and Life</w:t>
      </w:r>
      <w:r w:rsidRPr="006A62D4">
        <w:rPr>
          <w:sz w:val="20"/>
          <w:lang w:val="ro-RO"/>
        </w:rPr>
        <w:t xml:space="preserve">, the Handsel Press, Edinburgh, 1980, în spec. cap. său: </w:t>
      </w:r>
      <w:r w:rsidRPr="006A62D4">
        <w:rPr>
          <w:i/>
          <w:sz w:val="20"/>
          <w:lang w:val="ro-RO"/>
        </w:rPr>
        <w:t>The Framework of Belief,</w:t>
      </w:r>
      <w:r w:rsidRPr="006A62D4">
        <w:rPr>
          <w:sz w:val="20"/>
          <w:lang w:val="ro-RO"/>
        </w:rPr>
        <w:t xml:space="preserve"> pp. 1-27, unde tratează despre înţelegerea credinţei din perspectiva unei duble opoziţii: între credinţă şi vedere şi între credinţă şi raţiune. În </w:t>
      </w:r>
      <w:r w:rsidRPr="006A62D4">
        <w:rPr>
          <w:i/>
          <w:sz w:val="20"/>
          <w:lang w:val="ro-RO"/>
        </w:rPr>
        <w:t>Vechiul Testament</w:t>
      </w:r>
      <w:r w:rsidRPr="006A62D4">
        <w:rPr>
          <w:sz w:val="20"/>
          <w:lang w:val="ro-RO"/>
        </w:rPr>
        <w:t xml:space="preserve"> accentul nu este pe vedere, care s-ar baza pe cel ce vede, ci pe ascultarea Cuvântului lui Dumnezeu care dă naştere cunoaşterii ce-şi are fundamentul în Dumnezeu. Mântuitorul accentuează preeminenţa credinţei, nu a vederii, dar contrastul biblic dintre credinţă şi vedere nu implică un contrast între credinţă şi cunoaştere sau între credinţă şi raţiune., pp. 2-3.</w:t>
      </w:r>
    </w:p>
  </w:footnote>
  <w:footnote w:id="10">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Mircea </w:t>
      </w:r>
      <w:r w:rsidRPr="006A62D4">
        <w:rPr>
          <w:sz w:val="20"/>
          <w:lang w:val="ro-RO"/>
        </w:rPr>
        <w:t xml:space="preserve">Eliade, </w:t>
      </w:r>
      <w:r w:rsidRPr="006A62D4">
        <w:rPr>
          <w:i/>
          <w:sz w:val="20"/>
          <w:lang w:val="ro-RO"/>
        </w:rPr>
        <w:t>La Nostalgie des Origines,</w:t>
      </w:r>
      <w:r>
        <w:rPr>
          <w:sz w:val="20"/>
          <w:lang w:val="ro-RO"/>
        </w:rPr>
        <w:t xml:space="preserve"> 1969, p. 7, sq., cit. în: Idem</w:t>
      </w:r>
      <w:r w:rsidRPr="006A62D4">
        <w:rPr>
          <w:sz w:val="20"/>
          <w:lang w:val="ro-RO"/>
        </w:rPr>
        <w:t xml:space="preserve">, </w:t>
      </w:r>
      <w:r w:rsidRPr="006A62D4">
        <w:rPr>
          <w:i/>
          <w:sz w:val="20"/>
          <w:lang w:val="ro-RO"/>
        </w:rPr>
        <w:t>Istoria credinţelor şi ideilor religioase</w:t>
      </w:r>
      <w:r w:rsidRPr="006A62D4">
        <w:rPr>
          <w:sz w:val="20"/>
          <w:lang w:val="ro-RO"/>
        </w:rPr>
        <w:t>, I, t.r. Cezar Baltag, Ed. Ştiinţifică şi Enciclopedică, Bucureşti, 1981, p. IX.</w:t>
      </w:r>
    </w:p>
  </w:footnote>
  <w:footnote w:id="11">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Jean </w:t>
      </w:r>
      <w:r w:rsidRPr="006A62D4">
        <w:rPr>
          <w:sz w:val="20"/>
          <w:lang w:val="ro-RO"/>
        </w:rPr>
        <w:t xml:space="preserve">Ansaldi, </w:t>
      </w:r>
      <w:r w:rsidRPr="006A62D4">
        <w:rPr>
          <w:i/>
          <w:sz w:val="20"/>
          <w:lang w:val="ro-RO"/>
        </w:rPr>
        <w:t>La Foi comme a-rencontre du réel,</w:t>
      </w:r>
      <w:r w:rsidRPr="006A62D4">
        <w:rPr>
          <w:sz w:val="20"/>
          <w:lang w:val="ro-RO"/>
        </w:rPr>
        <w:t xml:space="preserve"> în Idem: </w:t>
      </w:r>
      <w:r w:rsidRPr="006A62D4">
        <w:rPr>
          <w:i/>
          <w:sz w:val="20"/>
          <w:lang w:val="ro-RO"/>
        </w:rPr>
        <w:t>L’articulation de la foi de la Théologie et des Ecritures</w:t>
      </w:r>
      <w:r w:rsidRPr="006A62D4">
        <w:rPr>
          <w:sz w:val="20"/>
          <w:lang w:val="ro-RO"/>
        </w:rPr>
        <w:t>, Les Editions du cerf, Paris, 1991, p. 11.</w:t>
      </w:r>
    </w:p>
  </w:footnote>
  <w:footnote w:id="12">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Simeon Noul Teolog</w:t>
      </w:r>
      <w:r w:rsidRPr="006A62D4">
        <w:rPr>
          <w:i/>
          <w:sz w:val="20"/>
          <w:lang w:val="ro-RO"/>
        </w:rPr>
        <w:t>, Imn.,</w:t>
      </w:r>
      <w:r w:rsidRPr="006A62D4">
        <w:rPr>
          <w:sz w:val="20"/>
          <w:lang w:val="ro-RO"/>
        </w:rPr>
        <w:t xml:space="preserve"> 45, 6..., p. 622.</w:t>
      </w:r>
    </w:p>
  </w:footnote>
  <w:footnote w:id="13">
    <w:p w:rsidR="00EE6A7E" w:rsidRPr="006A62D4" w:rsidRDefault="00EE6A7E" w:rsidP="00EE6A7E">
      <w:pPr>
        <w:pStyle w:val="FootnoteText"/>
        <w:jc w:val="both"/>
        <w:rPr>
          <w:sz w:val="20"/>
          <w:lang w:val="ro-RO"/>
        </w:rPr>
      </w:pPr>
      <w:r w:rsidRPr="006A62D4">
        <w:rPr>
          <w:rStyle w:val="FootnoteCharacters"/>
          <w:sz w:val="20"/>
          <w:lang w:val="ro-RO"/>
        </w:rPr>
        <w:t>13</w:t>
      </w:r>
      <w:r w:rsidRPr="006A62D4">
        <w:rPr>
          <w:sz w:val="20"/>
          <w:lang w:val="ro-RO"/>
        </w:rPr>
        <w:t xml:space="preserve"> </w:t>
      </w:r>
      <w:r w:rsidRPr="006A62D4">
        <w:rPr>
          <w:sz w:val="20"/>
          <w:lang w:val="ro-RO"/>
        </w:rPr>
        <w:t>Se referă la condiţiile de iad „oferite” de umanismul socialist.</w:t>
      </w:r>
    </w:p>
  </w:footnote>
  <w:footnote w:id="14">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Se </w:t>
      </w:r>
      <w:r w:rsidRPr="006A62D4">
        <w:rPr>
          <w:sz w:val="20"/>
          <w:lang w:val="ro-RO"/>
        </w:rPr>
        <w:t>referă oa</w:t>
      </w:r>
      <w:r>
        <w:rPr>
          <w:sz w:val="20"/>
          <w:lang w:val="ro-RO"/>
        </w:rPr>
        <w:t>re la „adierea de vânt lin” (3</w:t>
      </w:r>
      <w:r w:rsidRPr="006A62D4">
        <w:rPr>
          <w:sz w:val="20"/>
          <w:lang w:val="ro-RO"/>
        </w:rPr>
        <w:t xml:space="preserve"> Rg. 19, 12) prin care s-a făcut simţită prezenţa lui Dumnezeu în timpul proorocului Ilie.</w:t>
      </w:r>
    </w:p>
  </w:footnote>
  <w:footnote w:id="15">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Nicolae </w:t>
      </w:r>
      <w:r w:rsidRPr="006A62D4">
        <w:rPr>
          <w:sz w:val="20"/>
          <w:lang w:val="ro-RO"/>
        </w:rPr>
        <w:t xml:space="preserve">Steinhardt, </w:t>
      </w:r>
      <w:r w:rsidRPr="006A62D4">
        <w:rPr>
          <w:i/>
          <w:sz w:val="20"/>
          <w:lang w:val="ro-RO"/>
        </w:rPr>
        <w:t>Jurnalul fericirii,</w:t>
      </w:r>
      <w:r w:rsidRPr="006A62D4">
        <w:rPr>
          <w:sz w:val="20"/>
          <w:lang w:val="ro-RO"/>
        </w:rPr>
        <w:t xml:space="preserve"> Ed. Mănăstirii Rohia, Rohia, 2005, p. 92.</w:t>
      </w:r>
    </w:p>
  </w:footnote>
  <w:footnote w:id="16">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N. </w:t>
      </w:r>
      <w:r w:rsidRPr="006A62D4">
        <w:rPr>
          <w:sz w:val="20"/>
          <w:lang w:val="ro-RO"/>
        </w:rPr>
        <w:t xml:space="preserve">Steinhardt, Ioan Pintea, </w:t>
      </w:r>
      <w:r w:rsidRPr="006A62D4">
        <w:rPr>
          <w:i/>
          <w:sz w:val="20"/>
          <w:lang w:val="ro-RO"/>
        </w:rPr>
        <w:t xml:space="preserve">Primejdia mărturisirii. Convorbirile de la Rohia urmate de jurnal, </w:t>
      </w:r>
      <w:r w:rsidRPr="006A62D4">
        <w:rPr>
          <w:sz w:val="20"/>
          <w:lang w:val="ro-RO"/>
        </w:rPr>
        <w:t>Ed. Humanitas, Bucureşti, 2006, p. 173.</w:t>
      </w:r>
    </w:p>
  </w:footnote>
  <w:footnote w:id="17">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Ierom. </w:t>
      </w:r>
      <w:r w:rsidRPr="006A62D4">
        <w:rPr>
          <w:sz w:val="20"/>
          <w:lang w:val="ro-RO"/>
        </w:rPr>
        <w:t>Rafail Noica, Conferinţa: „Despre viaţa Sfintei Maria Egipteanca şi cea a C</w:t>
      </w:r>
      <w:r>
        <w:rPr>
          <w:sz w:val="20"/>
          <w:lang w:val="ro-RO"/>
        </w:rPr>
        <w:t xml:space="preserve">uviosului Siluan Atonitul”, la </w:t>
      </w:r>
      <w:r w:rsidRPr="006A62D4">
        <w:rPr>
          <w:sz w:val="20"/>
          <w:lang w:val="ro-RO"/>
        </w:rPr>
        <w:t>Congresul internaţional Dumitru Stăniloae”, Bucureşti, octombrie, 2003.</w:t>
      </w:r>
    </w:p>
  </w:footnote>
  <w:footnote w:id="18">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Emil </w:t>
      </w:r>
      <w:r w:rsidRPr="006A62D4">
        <w:rPr>
          <w:sz w:val="20"/>
          <w:lang w:val="ro-RO"/>
        </w:rPr>
        <w:t>Bartoş, „The Concept of Deification in Eastern Orthodox Theology with detalied Reference to Dumitru Stăniloae”,</w:t>
      </w:r>
      <w:r w:rsidRPr="006A62D4">
        <w:rPr>
          <w:i/>
          <w:sz w:val="20"/>
          <w:lang w:val="ro-RO"/>
        </w:rPr>
        <w:t xml:space="preserve"> </w:t>
      </w:r>
      <w:r w:rsidRPr="006A62D4">
        <w:rPr>
          <w:sz w:val="20"/>
          <w:lang w:val="ro-RO"/>
        </w:rPr>
        <w:t xml:space="preserve">mss., teză de doctorat, University of Lampester, Wales, (Marea Britanie) 1996, p. 25 (t.r. </w:t>
      </w:r>
      <w:r w:rsidRPr="006A62D4">
        <w:rPr>
          <w:i/>
          <w:sz w:val="20"/>
          <w:lang w:val="ro-RO"/>
        </w:rPr>
        <w:t>Conceptul de îndumnezeire în teologia lui Dumitru Stăniloae,</w:t>
      </w:r>
      <w:r w:rsidRPr="006A62D4">
        <w:rPr>
          <w:sz w:val="20"/>
          <w:lang w:val="ro-RO"/>
        </w:rPr>
        <w:t xml:space="preserve"> Ed. Institutului Biblic „Emanuel”, Oradea, 1999, p. 45).</w:t>
      </w:r>
    </w:p>
  </w:footnote>
  <w:footnote w:id="19">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L. </w:t>
      </w:r>
      <w:r w:rsidRPr="006A62D4">
        <w:rPr>
          <w:sz w:val="20"/>
          <w:lang w:val="ro-RO"/>
        </w:rPr>
        <w:t xml:space="preserve">Bouyer îşi manifestă îngrijorarea relativ la faptul că în ultima perioadă a devenit o modă la teologii protestanţi, dar nu numai, să considere tot ceea ce ţine de contemplaţie în tradiţia creştină ca fiind de origine grecească. Cauza ar fi studierea unor termeni filosofici scoşi din contextul în care au fost folosiţi de Părinţi. De exemplu, este absolut fals să se afirme că termenul grecesc </w:t>
      </w:r>
      <w:r w:rsidRPr="006A62D4">
        <w:rPr>
          <w:i/>
          <w:sz w:val="20"/>
          <w:lang w:val="ro-RO"/>
        </w:rPr>
        <w:t>gnosis</w:t>
      </w:r>
      <w:r w:rsidRPr="006A62D4">
        <w:rPr>
          <w:sz w:val="20"/>
          <w:lang w:val="ro-RO"/>
        </w:rPr>
        <w:t xml:space="preserve">, însemnând „cunoaştere”, ar fi fost împrumutat de Părinţi (Clement al Alexandriei şi Origen) din vocabularul ereticilor pe care cercetătorii din secolul al XIX-lea i-au numit „gnostici”, ca şi cum apelativul s-ar referi doar la ei. De fapt, Părinţii i-au numit pe aceşti eretici „pseudo-gnostici” rezervând Bisericii celei una adevărata „gnosis”. Este fals, de asemenea, să se afirme că prima dată cuvântul „gnosis” a fost folosit în filosofie, deoarece aici n-a avut niciodată un sens limitat, ci foarte larg. Cunoaşterea propriu-zis filosofică este numită totdeauna </w:t>
      </w:r>
      <w:r w:rsidRPr="006A62D4">
        <w:rPr>
          <w:i/>
          <w:sz w:val="20"/>
          <w:lang w:val="ro-RO"/>
        </w:rPr>
        <w:t>episteme</w:t>
      </w:r>
      <w:r w:rsidRPr="006A62D4">
        <w:rPr>
          <w:sz w:val="20"/>
          <w:lang w:val="ro-RO"/>
        </w:rPr>
        <w:t xml:space="preserve">, niciodată </w:t>
      </w:r>
      <w:r w:rsidRPr="006A62D4">
        <w:rPr>
          <w:i/>
          <w:sz w:val="20"/>
          <w:lang w:val="ro-RO"/>
        </w:rPr>
        <w:t xml:space="preserve">gnosis, </w:t>
      </w:r>
      <w:r w:rsidRPr="006A62D4">
        <w:rPr>
          <w:sz w:val="20"/>
          <w:lang w:val="ro-RO"/>
        </w:rPr>
        <w:t xml:space="preserve">în </w:t>
      </w:r>
      <w:r w:rsidRPr="006A62D4">
        <w:rPr>
          <w:i/>
          <w:sz w:val="20"/>
          <w:lang w:val="ro-RO"/>
        </w:rPr>
        <w:t>Septuaginta</w:t>
      </w:r>
      <w:r w:rsidRPr="006A62D4">
        <w:rPr>
          <w:sz w:val="20"/>
          <w:lang w:val="ro-RO"/>
        </w:rPr>
        <w:t xml:space="preserve"> </w:t>
      </w:r>
      <w:r w:rsidRPr="006A62D4">
        <w:rPr>
          <w:i/>
          <w:sz w:val="20"/>
          <w:lang w:val="ro-RO"/>
        </w:rPr>
        <w:t>gnosis</w:t>
      </w:r>
      <w:r w:rsidRPr="006A62D4">
        <w:rPr>
          <w:sz w:val="20"/>
          <w:lang w:val="ro-RO"/>
        </w:rPr>
        <w:t xml:space="preserve"> ajunge să însemne cunoaşterea lui Dumnezeu</w:t>
      </w:r>
      <w:r w:rsidRPr="006A62D4">
        <w:rPr>
          <w:i/>
          <w:sz w:val="20"/>
          <w:lang w:val="ro-RO"/>
        </w:rPr>
        <w:t>.</w:t>
      </w:r>
      <w:r w:rsidRPr="006A62D4">
        <w:rPr>
          <w:sz w:val="20"/>
          <w:lang w:val="ro-RO"/>
        </w:rPr>
        <w:t xml:space="preserve"> Odată cu Philon din Alexandria, </w:t>
      </w:r>
      <w:r w:rsidRPr="006A62D4">
        <w:rPr>
          <w:i/>
          <w:sz w:val="20"/>
          <w:lang w:val="ro-RO"/>
        </w:rPr>
        <w:t>gnosis</w:t>
      </w:r>
      <w:r w:rsidRPr="006A62D4">
        <w:rPr>
          <w:sz w:val="20"/>
          <w:lang w:val="ro-RO"/>
        </w:rPr>
        <w:t xml:space="preserve"> desemnează cunoaşterea specific religioasă, dar întotdeauna în legătură cu textele biblice pe care le citează în greceşte. Termenul a fost folosit de primii scriitori creştini, ex. Sfântul Pavel, deoarece era termen biblic.- </w:t>
      </w:r>
      <w:r w:rsidRPr="006A62D4">
        <w:rPr>
          <w:i/>
          <w:sz w:val="20"/>
          <w:lang w:val="ro-RO"/>
        </w:rPr>
        <w:t>Introduction to Spirituality,</w:t>
      </w:r>
      <w:r w:rsidRPr="006A62D4">
        <w:rPr>
          <w:sz w:val="20"/>
          <w:lang w:val="ro-RO"/>
        </w:rPr>
        <w:t xml:space="preserve"> Desclee, New York, 1961, pp. 264, 267, 268.</w:t>
      </w:r>
    </w:p>
  </w:footnote>
  <w:footnote w:id="20">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Paul </w:t>
      </w:r>
      <w:r w:rsidRPr="006A62D4">
        <w:rPr>
          <w:sz w:val="20"/>
          <w:lang w:val="ro-RO"/>
        </w:rPr>
        <w:t xml:space="preserve">Evdokimov, </w:t>
      </w:r>
      <w:r w:rsidRPr="006A62D4">
        <w:rPr>
          <w:i/>
          <w:sz w:val="20"/>
          <w:lang w:val="ro-RO"/>
        </w:rPr>
        <w:t xml:space="preserve">Cunoaşterea lui Dumnezeu în Tradiţia răsăriteană-Învăţătură patristică, liturgică şi iconografică, </w:t>
      </w:r>
      <w:r w:rsidRPr="006A62D4">
        <w:rPr>
          <w:sz w:val="20"/>
          <w:lang w:val="ro-RO"/>
        </w:rPr>
        <w:t>trad. rom., Pr. Lect. Univ. Dr. Vasile Răducă, Ed. Christiana, Bucureşti, 1995, pp. 20-21.</w:t>
      </w:r>
    </w:p>
  </w:footnote>
  <w:footnote w:id="21">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Nikos </w:t>
      </w:r>
      <w:r w:rsidRPr="006A62D4">
        <w:rPr>
          <w:sz w:val="20"/>
          <w:lang w:val="ro-RO"/>
        </w:rPr>
        <w:t xml:space="preserve">Matsoukas, </w:t>
      </w:r>
      <w:r w:rsidRPr="006A62D4">
        <w:rPr>
          <w:i/>
          <w:sz w:val="20"/>
          <w:lang w:val="ro-RO"/>
        </w:rPr>
        <w:t>Introducere în gnoseologia teologică</w:t>
      </w:r>
      <w:r w:rsidRPr="006A62D4">
        <w:rPr>
          <w:sz w:val="20"/>
          <w:lang w:val="ro-RO"/>
        </w:rPr>
        <w:t>, Ed. Bizantină, Bucureşti, 1997, pp. 37-38.</w:t>
      </w:r>
    </w:p>
  </w:footnote>
  <w:footnote w:id="22">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71.</w:t>
      </w:r>
    </w:p>
  </w:footnote>
  <w:footnote w:id="23">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72.</w:t>
      </w:r>
    </w:p>
  </w:footnote>
  <w:footnote w:id="24">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 </w:t>
      </w:r>
      <w:r w:rsidRPr="006A62D4">
        <w:rPr>
          <w:sz w:val="20"/>
          <w:lang w:val="ro-RO"/>
        </w:rPr>
        <w:t>se vedea foarte interesanta analiză intitulată</w:t>
      </w:r>
      <w:r w:rsidRPr="006A62D4">
        <w:rPr>
          <w:i/>
          <w:sz w:val="20"/>
          <w:lang w:val="ro-RO"/>
        </w:rPr>
        <w:t>: Revelaţie, intuiţie şi creativitate ştiinţifică</w:t>
      </w:r>
      <w:r w:rsidRPr="006A62D4">
        <w:rPr>
          <w:sz w:val="20"/>
          <w:lang w:val="ro-RO"/>
        </w:rPr>
        <w:t xml:space="preserve">, din: Pr. Prep. Dr. Răzvan Andrei Ionescu şi Lect. Dr. Adrian Nicolae Lemeni, </w:t>
      </w:r>
      <w:r w:rsidRPr="006A62D4">
        <w:rPr>
          <w:i/>
          <w:sz w:val="20"/>
          <w:lang w:val="ro-RO"/>
        </w:rPr>
        <w:t>Teologie Ortodoxă şi Ştiinţă,</w:t>
      </w:r>
      <w:r w:rsidRPr="006A62D4">
        <w:rPr>
          <w:sz w:val="20"/>
          <w:lang w:val="ro-RO"/>
        </w:rPr>
        <w:t xml:space="preserve"> Ed. I.B.M.B.O.R., Bucureşti, 2006, pp. 253-258.</w:t>
      </w:r>
    </w:p>
  </w:footnote>
  <w:footnote w:id="25">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171.</w:t>
      </w:r>
    </w:p>
  </w:footnote>
  <w:footnote w:id="26">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172.</w:t>
      </w:r>
    </w:p>
  </w:footnote>
  <w:footnote w:id="27">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Arhimandritul </w:t>
      </w:r>
      <w:r w:rsidRPr="006A62D4">
        <w:rPr>
          <w:sz w:val="20"/>
          <w:lang w:val="ro-RO"/>
        </w:rPr>
        <w:t xml:space="preserve">Sofronie, </w:t>
      </w:r>
      <w:r w:rsidRPr="006A62D4">
        <w:rPr>
          <w:i/>
          <w:sz w:val="20"/>
          <w:lang w:val="ro-RO"/>
        </w:rPr>
        <w:t>Vom vedea pe Dumnezeu precum este,</w:t>
      </w:r>
      <w:r w:rsidRPr="006A62D4">
        <w:rPr>
          <w:sz w:val="20"/>
          <w:lang w:val="ro-RO"/>
        </w:rPr>
        <w:t xml:space="preserve"> Ed. Sofia, Bucureşti, 2005, p. 237.</w:t>
      </w:r>
    </w:p>
  </w:footnote>
  <w:footnote w:id="28">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Marie-Anne </w:t>
      </w:r>
      <w:r w:rsidRPr="006A62D4">
        <w:rPr>
          <w:sz w:val="20"/>
          <w:lang w:val="ro-RO"/>
        </w:rPr>
        <w:t xml:space="preserve">Vannier, „Aux sources de la voie négative”, în: </w:t>
      </w:r>
      <w:r w:rsidRPr="006A62D4">
        <w:rPr>
          <w:i/>
          <w:sz w:val="20"/>
          <w:lang w:val="ro-RO"/>
        </w:rPr>
        <w:t>Revue des sciences religieuses</w:t>
      </w:r>
      <w:r w:rsidRPr="006A62D4">
        <w:rPr>
          <w:sz w:val="20"/>
          <w:lang w:val="ro-RO"/>
        </w:rPr>
        <w:t>, 72, nr. 4, (1998), p. 403; ne vom referi în continuare la acest studiu.</w:t>
      </w:r>
    </w:p>
  </w:footnote>
  <w:footnote w:id="29">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Idem, </w:t>
      </w:r>
      <w:r w:rsidRPr="006A62D4">
        <w:rPr>
          <w:i/>
          <w:sz w:val="20"/>
          <w:lang w:val="ro-RO"/>
        </w:rPr>
        <w:t>Denys l’Areopagite et sa posterite en Orient et en Occident</w:t>
      </w:r>
      <w:r w:rsidRPr="006A62D4">
        <w:rPr>
          <w:sz w:val="20"/>
          <w:lang w:val="ro-RO"/>
        </w:rPr>
        <w:t>, Etudes Augustiniennes, Paris, (1997), pp. 227-579.</w:t>
      </w:r>
    </w:p>
  </w:footnote>
  <w:footnote w:id="30">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Autoarea </w:t>
      </w:r>
      <w:r w:rsidRPr="006A62D4">
        <w:rPr>
          <w:sz w:val="20"/>
          <w:lang w:val="ro-RO"/>
        </w:rPr>
        <w:t xml:space="preserve">consideră că scrierile areopagitice nu aparţin secolului I, cum demonstra părintele Dumitru Stăniloae în: Sf. Dionisie Areopagitul, </w:t>
      </w:r>
      <w:r w:rsidRPr="006A62D4">
        <w:rPr>
          <w:i/>
          <w:sz w:val="20"/>
          <w:lang w:val="ro-RO"/>
        </w:rPr>
        <w:t>Opere complete</w:t>
      </w:r>
      <w:r w:rsidRPr="006A62D4">
        <w:rPr>
          <w:sz w:val="20"/>
          <w:lang w:val="ro-RO"/>
        </w:rPr>
        <w:t>, Ed. Paideia, 1996, A se vedea secţiunea din introducere</w:t>
      </w:r>
      <w:r w:rsidRPr="006A62D4">
        <w:rPr>
          <w:i/>
          <w:sz w:val="20"/>
          <w:lang w:val="ro-RO"/>
        </w:rPr>
        <w:t xml:space="preserve">: </w:t>
      </w:r>
      <w:r w:rsidRPr="00EF6E40">
        <w:rPr>
          <w:sz w:val="20"/>
          <w:lang w:val="ro-RO"/>
        </w:rPr>
        <w:t>„</w:t>
      </w:r>
      <w:r w:rsidRPr="006A62D4">
        <w:rPr>
          <w:i/>
          <w:sz w:val="20"/>
          <w:lang w:val="ro-RO"/>
        </w:rPr>
        <w:t xml:space="preserve">Conţinutul general creştin al scrierilor areopagitice şi componentele lor principale, temei pentru alcătuirea lor de Dionisie Areopagitul </w:t>
      </w:r>
      <w:r w:rsidRPr="006A62D4">
        <w:rPr>
          <w:sz w:val="20"/>
          <w:lang w:val="ro-RO"/>
        </w:rPr>
        <w:t xml:space="preserve">(pp. 9-13)”. Părintele Stăniloae aduce argumente în favoarea secolului I, ca timp al scrierii </w:t>
      </w:r>
      <w:r w:rsidRPr="006A62D4">
        <w:rPr>
          <w:i/>
          <w:sz w:val="20"/>
          <w:lang w:val="ro-RO"/>
        </w:rPr>
        <w:t>corpus</w:t>
      </w:r>
      <w:r w:rsidRPr="006A62D4">
        <w:rPr>
          <w:sz w:val="20"/>
          <w:lang w:val="ro-RO"/>
        </w:rPr>
        <w:t>-ului areopagitic şi insistă pentru păstrarea numelui autorului: „(...) ţinem să spunem că vrem să păstrăm numele de Dionisie Areopagitul pentru autorul acestor scrieri. Chiar dacă autorul lor ar fi cineva de mai târziu, dacă el a ţinut să-şi dea acest nume, îi respectăm voinţa şi e vrednic pentru această mare operă de apelativul de Sfânt, ca ceilalţi Părinţi bisericeşti”.</w:t>
      </w:r>
    </w:p>
  </w:footnote>
  <w:footnote w:id="31">
    <w:p w:rsidR="00EE6A7E" w:rsidRPr="006A62D4" w:rsidRDefault="00EE6A7E" w:rsidP="00EE6A7E">
      <w:pPr>
        <w:pStyle w:val="FootnoteText"/>
        <w:tabs>
          <w:tab w:val="left" w:pos="90"/>
        </w:tabs>
        <w:jc w:val="both"/>
        <w:rPr>
          <w:sz w:val="20"/>
          <w:lang w:val="ro-RO"/>
        </w:rPr>
      </w:pPr>
      <w:r w:rsidRPr="006A62D4">
        <w:rPr>
          <w:rStyle w:val="FootnoteReference"/>
          <w:sz w:val="20"/>
        </w:rPr>
        <w:footnoteRef/>
      </w:r>
      <w:r w:rsidRPr="006A62D4">
        <w:rPr>
          <w:sz w:val="20"/>
        </w:rPr>
        <w:t xml:space="preserve"> </w:t>
      </w:r>
      <w:r w:rsidRPr="006A62D4">
        <w:rPr>
          <w:sz w:val="20"/>
          <w:lang w:val="ro-RO"/>
        </w:rPr>
        <w:t xml:space="preserve">G. </w:t>
      </w:r>
      <w:r w:rsidRPr="006A62D4">
        <w:rPr>
          <w:sz w:val="20"/>
          <w:lang w:val="ro-RO"/>
        </w:rPr>
        <w:t>Scholem,</w:t>
      </w:r>
      <w:r w:rsidRPr="006A62D4">
        <w:rPr>
          <w:i/>
          <w:sz w:val="20"/>
          <w:lang w:val="ro-RO"/>
        </w:rPr>
        <w:t xml:space="preserve"> Les grands courants de la mystique juive,</w:t>
      </w:r>
      <w:r w:rsidRPr="006A62D4">
        <w:rPr>
          <w:sz w:val="20"/>
          <w:lang w:val="ro-RO"/>
        </w:rPr>
        <w:t xml:space="preserve"> Paris, Payot, 1973; </w:t>
      </w:r>
      <w:r w:rsidRPr="006A62D4">
        <w:rPr>
          <w:i/>
          <w:sz w:val="20"/>
          <w:lang w:val="ro-RO"/>
        </w:rPr>
        <w:t>La mystique juive</w:t>
      </w:r>
      <w:r w:rsidRPr="006A62D4">
        <w:rPr>
          <w:sz w:val="20"/>
          <w:lang w:val="ro-RO"/>
        </w:rPr>
        <w:t xml:space="preserve">, Paris, Cerf, 1985, pp. 37-72, la M.A.Vannier, </w:t>
      </w:r>
      <w:r w:rsidRPr="006A62D4">
        <w:rPr>
          <w:i/>
          <w:sz w:val="20"/>
          <w:lang w:val="ro-RO"/>
        </w:rPr>
        <w:t>op. cit</w:t>
      </w:r>
      <w:r w:rsidRPr="006A62D4">
        <w:rPr>
          <w:sz w:val="20"/>
          <w:lang w:val="ro-RO"/>
        </w:rPr>
        <w:t xml:space="preserve">., p. 403. </w:t>
      </w:r>
    </w:p>
  </w:footnote>
  <w:footnote w:id="32">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E. </w:t>
      </w:r>
      <w:r w:rsidRPr="006A62D4">
        <w:rPr>
          <w:sz w:val="20"/>
          <w:lang w:val="ro-RO"/>
        </w:rPr>
        <w:t>von Ivanka</w:t>
      </w:r>
      <w:r w:rsidRPr="006A62D4">
        <w:rPr>
          <w:i/>
          <w:sz w:val="20"/>
          <w:lang w:val="ro-RO"/>
        </w:rPr>
        <w:t xml:space="preserve">, Plato christianus. La reception critique du platonisme chez les Pères de l’Eglise, </w:t>
      </w:r>
      <w:r w:rsidRPr="006A62D4">
        <w:rPr>
          <w:sz w:val="20"/>
          <w:lang w:val="ro-RO"/>
        </w:rPr>
        <w:t>Paris, PUF, 1990; S. Lula, „Le platonisme et les Peres”.</w:t>
      </w:r>
    </w:p>
  </w:footnote>
  <w:footnote w:id="33">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M. </w:t>
      </w:r>
      <w:r w:rsidRPr="006A62D4">
        <w:rPr>
          <w:sz w:val="20"/>
          <w:lang w:val="ro-RO"/>
        </w:rPr>
        <w:t xml:space="preserve">Idel, „La kabbale juive et le platonisme et le platonisme au Moyen Âge et a la Renaissance”, </w:t>
      </w:r>
      <w:r w:rsidRPr="006A62D4">
        <w:rPr>
          <w:i/>
          <w:sz w:val="20"/>
          <w:lang w:val="ro-RO"/>
        </w:rPr>
        <w:t>Revue des sciences religieuses,</w:t>
      </w:r>
      <w:r w:rsidRPr="006A62D4">
        <w:rPr>
          <w:sz w:val="20"/>
          <w:lang w:val="ro-RO"/>
        </w:rPr>
        <w:t xml:space="preserve"> 67/4 (1993), pp. 87-117.</w:t>
      </w:r>
    </w:p>
  </w:footnote>
  <w:footnote w:id="34">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D. </w:t>
      </w:r>
      <w:r w:rsidRPr="006A62D4">
        <w:rPr>
          <w:sz w:val="20"/>
          <w:lang w:val="ro-RO"/>
        </w:rPr>
        <w:t xml:space="preserve">Carabine, </w:t>
      </w:r>
      <w:r w:rsidRPr="006A62D4">
        <w:rPr>
          <w:i/>
          <w:sz w:val="20"/>
          <w:lang w:val="ro-RO"/>
        </w:rPr>
        <w:t>The unknown God. Negative theology in the platonic tradition: Plato to Eriugena,</w:t>
      </w:r>
      <w:r w:rsidRPr="006A62D4">
        <w:rPr>
          <w:sz w:val="20"/>
          <w:lang w:val="ro-RO"/>
        </w:rPr>
        <w:t xml:space="preserve"> Louvain, Peeters, 1995, pp. 191-221.</w:t>
      </w:r>
    </w:p>
  </w:footnote>
  <w:footnote w:id="35">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J. </w:t>
      </w:r>
      <w:r w:rsidRPr="006A62D4">
        <w:rPr>
          <w:sz w:val="20"/>
          <w:lang w:val="ro-RO"/>
        </w:rPr>
        <w:t xml:space="preserve">Danielou, „L’incomprehensibilite de Dieu d’après S. Jean Chrysostome”, </w:t>
      </w:r>
      <w:r w:rsidRPr="006A62D4">
        <w:rPr>
          <w:i/>
          <w:sz w:val="20"/>
          <w:lang w:val="ro-RO"/>
        </w:rPr>
        <w:t>Recherches de science religieuse</w:t>
      </w:r>
      <w:r w:rsidRPr="006A62D4">
        <w:rPr>
          <w:sz w:val="20"/>
          <w:lang w:val="ro-RO"/>
        </w:rPr>
        <w:t xml:space="preserve"> 37, (1950), pp. 176-194.</w:t>
      </w:r>
    </w:p>
  </w:footnote>
  <w:footnote w:id="36">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M.A. </w:t>
      </w:r>
      <w:r w:rsidRPr="006A62D4">
        <w:rPr>
          <w:sz w:val="20"/>
          <w:lang w:val="ro-RO"/>
        </w:rPr>
        <w:t xml:space="preserve">Vannier, </w:t>
      </w:r>
      <w:r w:rsidRPr="006A62D4">
        <w:rPr>
          <w:i/>
          <w:sz w:val="20"/>
          <w:lang w:val="ro-RO"/>
        </w:rPr>
        <w:t>op. cit.,</w:t>
      </w:r>
      <w:r w:rsidRPr="006A62D4">
        <w:rPr>
          <w:sz w:val="20"/>
          <w:lang w:val="ro-RO"/>
        </w:rPr>
        <w:t xml:space="preserve"> p. 403.</w:t>
      </w:r>
    </w:p>
  </w:footnote>
  <w:footnote w:id="37">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Way </w:t>
      </w:r>
      <w:r w:rsidRPr="006A62D4">
        <w:rPr>
          <w:sz w:val="20"/>
          <w:lang w:val="ro-RO"/>
        </w:rPr>
        <w:t xml:space="preserve">of positive negation”, a se vedea: Daniel Bulzan, „Apophatism, Postmodernism and Language: Two Similar Cases of Theological Imbalance”, în: </w:t>
      </w:r>
      <w:r w:rsidRPr="006A62D4">
        <w:rPr>
          <w:i/>
          <w:sz w:val="20"/>
          <w:lang w:val="ro-RO"/>
        </w:rPr>
        <w:t>Scottish Journal of Theology</w:t>
      </w:r>
      <w:r w:rsidRPr="006A62D4">
        <w:rPr>
          <w:sz w:val="20"/>
          <w:lang w:val="ro-RO"/>
        </w:rPr>
        <w:t>, vol. 50, nr. 3, T&amp;T Clark, Edinburgh, 1997, p. 269.</w:t>
      </w:r>
    </w:p>
  </w:footnote>
  <w:footnote w:id="38">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270.</w:t>
      </w:r>
    </w:p>
  </w:footnote>
  <w:footnote w:id="39">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Dionisie Areopagitul, „Teologia mistică”, V, în </w:t>
      </w:r>
      <w:r w:rsidRPr="006A62D4">
        <w:rPr>
          <w:i/>
          <w:sz w:val="20"/>
          <w:lang w:val="ro-RO"/>
        </w:rPr>
        <w:t>Opere complete şi Scoliile Sfântului Maxim Mărturisitorul,</w:t>
      </w:r>
      <w:r w:rsidRPr="006A62D4">
        <w:rPr>
          <w:sz w:val="20"/>
          <w:lang w:val="ro-RO"/>
        </w:rPr>
        <w:t xml:space="preserve"> trad. de Pr. Dumitru Stăniloae, Ed. Paideia, 1996, pp. 251-254.</w:t>
      </w:r>
    </w:p>
  </w:footnote>
  <w:footnote w:id="40">
    <w:p w:rsidR="00EE6A7E" w:rsidRPr="006A62D4" w:rsidRDefault="00EE6A7E" w:rsidP="00EE6A7E">
      <w:pPr>
        <w:pStyle w:val="FootnoteText"/>
        <w:jc w:val="both"/>
        <w:rPr>
          <w:sz w:val="20"/>
          <w:lang w:val="ro-RO"/>
        </w:rPr>
      </w:pPr>
      <w:r w:rsidRPr="006A62D4">
        <w:rPr>
          <w:rStyle w:val="FootnoteReference"/>
          <w:sz w:val="20"/>
        </w:rPr>
        <w:footnoteRef/>
      </w:r>
      <w:r w:rsidRPr="006A62D4">
        <w:rPr>
          <w:sz w:val="20"/>
        </w:rPr>
        <w:t xml:space="preserve"> </w:t>
      </w:r>
      <w:r w:rsidRPr="006A62D4">
        <w:rPr>
          <w:sz w:val="20"/>
          <w:lang w:val="ro-RO"/>
        </w:rPr>
        <w:t xml:space="preserve">Martin </w:t>
      </w:r>
      <w:r w:rsidRPr="006A62D4">
        <w:rPr>
          <w:sz w:val="20"/>
          <w:lang w:val="ro-RO"/>
        </w:rPr>
        <w:t xml:space="preserve">Laird, „Apophasis and Logophasis in Gregory of Nyssa’s Commentarius in Canticum canticorum”, în: </w:t>
      </w:r>
      <w:r w:rsidRPr="006A62D4">
        <w:rPr>
          <w:i/>
          <w:sz w:val="20"/>
          <w:lang w:val="ro-RO"/>
        </w:rPr>
        <w:t>Studia Patristica</w:t>
      </w:r>
      <w:r w:rsidRPr="006A62D4">
        <w:rPr>
          <w:sz w:val="20"/>
          <w:lang w:val="ro-RO"/>
        </w:rPr>
        <w:t xml:space="preserve">, Vol. XXVII, 2001, p. 126. </w:t>
      </w:r>
    </w:p>
  </w:footnote>
  <w:footnote w:id="41">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127.</w:t>
      </w:r>
    </w:p>
  </w:footnote>
  <w:footnote w:id="42">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132.</w:t>
      </w:r>
    </w:p>
  </w:footnote>
  <w:footnote w:id="43">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Pierre </w:t>
      </w:r>
      <w:r w:rsidRPr="006A62D4">
        <w:rPr>
          <w:sz w:val="20"/>
          <w:lang w:val="ro-RO"/>
        </w:rPr>
        <w:t>Hadot</w:t>
      </w:r>
      <w:r w:rsidRPr="006A62D4">
        <w:rPr>
          <w:rStyle w:val="FootnoteCharacters"/>
          <w:sz w:val="20"/>
          <w:lang w:val="ro-RO"/>
        </w:rPr>
        <w:t xml:space="preserve">, </w:t>
      </w:r>
      <w:r>
        <w:rPr>
          <w:rStyle w:val="FootnoteCharacters"/>
          <w:sz w:val="20"/>
          <w:lang w:val="ro-RO"/>
        </w:rPr>
        <w:t>„</w:t>
      </w:r>
      <w:r w:rsidRPr="00EF6E40">
        <w:rPr>
          <w:sz w:val="20"/>
          <w:lang w:val="ro-RO"/>
        </w:rPr>
        <w:t>Exercices spirituels et philosophie antique</w:t>
      </w:r>
      <w:r>
        <w:rPr>
          <w:sz w:val="20"/>
          <w:lang w:val="ro-RO"/>
        </w:rPr>
        <w:t>”</w:t>
      </w:r>
      <w:r w:rsidRPr="006A62D4">
        <w:rPr>
          <w:i/>
          <w:sz w:val="20"/>
          <w:lang w:val="ro-RO"/>
        </w:rPr>
        <w:t>,</w:t>
      </w:r>
      <w:r w:rsidRPr="006A62D4">
        <w:rPr>
          <w:sz w:val="20"/>
          <w:lang w:val="ro-RO"/>
        </w:rPr>
        <w:t xml:space="preserve"> Paris, </w:t>
      </w:r>
      <w:r w:rsidRPr="00EF6E40">
        <w:rPr>
          <w:i/>
          <w:sz w:val="20"/>
          <w:lang w:val="ro-RO"/>
        </w:rPr>
        <w:t>Etudes augustiniennes</w:t>
      </w:r>
      <w:r w:rsidRPr="006A62D4">
        <w:rPr>
          <w:sz w:val="20"/>
          <w:lang w:val="ro-RO"/>
        </w:rPr>
        <w:t>, 1981, p. 85.</w:t>
      </w:r>
    </w:p>
  </w:footnote>
  <w:footnote w:id="44">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pp. 188-191.</w:t>
      </w:r>
    </w:p>
  </w:footnote>
  <w:footnote w:id="45">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Originalitatea </w:t>
      </w:r>
      <w:r w:rsidRPr="006A62D4">
        <w:rPr>
          <w:sz w:val="20"/>
          <w:lang w:val="ro-RO"/>
        </w:rPr>
        <w:t>părintelui Stăniloae este evidentă şi datorită dezvoltării celor trei trepte ale apofatismului.</w:t>
      </w:r>
    </w:p>
  </w:footnote>
  <w:footnote w:id="46">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M.A. </w:t>
      </w:r>
      <w:r w:rsidRPr="006A62D4">
        <w:rPr>
          <w:sz w:val="20"/>
          <w:lang w:val="ro-RO"/>
        </w:rPr>
        <w:t xml:space="preserve">Vannier, </w:t>
      </w:r>
      <w:r w:rsidRPr="006A62D4">
        <w:rPr>
          <w:i/>
          <w:sz w:val="20"/>
          <w:lang w:val="ro-RO"/>
        </w:rPr>
        <w:t>op. cit.,</w:t>
      </w:r>
      <w:r w:rsidRPr="006A62D4">
        <w:rPr>
          <w:sz w:val="20"/>
          <w:lang w:val="ro-RO"/>
        </w:rPr>
        <w:t xml:space="preserve"> p. 404.</w:t>
      </w:r>
    </w:p>
  </w:footnote>
  <w:footnote w:id="47">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Platon, </w:t>
      </w:r>
      <w:r w:rsidRPr="006A62D4">
        <w:rPr>
          <w:i/>
          <w:sz w:val="20"/>
          <w:lang w:val="ro-RO"/>
        </w:rPr>
        <w:t>Parmenide,</w:t>
      </w:r>
      <w:r w:rsidRPr="006A62D4">
        <w:rPr>
          <w:sz w:val="20"/>
          <w:lang w:val="ro-RO"/>
        </w:rPr>
        <w:t xml:space="preserve"> traducere şi „Lămuriri preliminare” de Sorin Vieru, Ed. Paideia, Bucureşti, 1994, p. 12, cf. 137 c4-142 a7.</w:t>
      </w:r>
    </w:p>
  </w:footnote>
  <w:footnote w:id="48">
    <w:p w:rsidR="00EE6A7E" w:rsidRPr="006A62D4" w:rsidRDefault="00EE6A7E" w:rsidP="00EE6A7E">
      <w:pPr>
        <w:pStyle w:val="FootnoteText"/>
        <w:jc w:val="both"/>
        <w:rPr>
          <w:sz w:val="20"/>
          <w:lang w:val="ro-RO"/>
        </w:rPr>
      </w:pPr>
      <w:r w:rsidRPr="006A62D4">
        <w:rPr>
          <w:rStyle w:val="FootnoteReference"/>
          <w:sz w:val="20"/>
        </w:rPr>
        <w:footnoteRef/>
      </w:r>
      <w:r w:rsidRPr="006A62D4">
        <w:rPr>
          <w:sz w:val="20"/>
        </w:rPr>
        <w:t xml:space="preserve"> </w:t>
      </w:r>
      <w:r w:rsidRPr="006A62D4">
        <w:rPr>
          <w:sz w:val="20"/>
          <w:lang w:val="ro-RO"/>
        </w:rPr>
        <w:t xml:space="preserve">Platon </w:t>
      </w:r>
      <w:r w:rsidRPr="006A62D4">
        <w:rPr>
          <w:sz w:val="20"/>
          <w:lang w:val="ro-RO"/>
        </w:rPr>
        <w:t xml:space="preserve">pregătise această teză prin dialogurile anterioare: </w:t>
      </w:r>
      <w:r>
        <w:rPr>
          <w:sz w:val="20"/>
          <w:lang w:val="ro-RO"/>
        </w:rPr>
        <w:t>„</w:t>
      </w:r>
      <w:r w:rsidRPr="00EF6E40">
        <w:rPr>
          <w:sz w:val="20"/>
          <w:lang w:val="ro-RO"/>
        </w:rPr>
        <w:t>Fedru</w:t>
      </w:r>
      <w:r>
        <w:rPr>
          <w:sz w:val="20"/>
          <w:lang w:val="ro-RO"/>
        </w:rPr>
        <w:t>”</w:t>
      </w:r>
      <w:r w:rsidRPr="00EF6E40">
        <w:rPr>
          <w:sz w:val="20"/>
          <w:lang w:val="ro-RO"/>
        </w:rPr>
        <w:t xml:space="preserve"> </w:t>
      </w:r>
      <w:r w:rsidRPr="006A62D4">
        <w:rPr>
          <w:sz w:val="20"/>
          <w:lang w:val="ro-RO"/>
        </w:rPr>
        <w:t xml:space="preserve">(250b), </w:t>
      </w:r>
      <w:r>
        <w:rPr>
          <w:sz w:val="20"/>
          <w:lang w:val="ro-RO"/>
        </w:rPr>
        <w:t>„</w:t>
      </w:r>
      <w:r w:rsidRPr="006A62D4">
        <w:rPr>
          <w:sz w:val="20"/>
          <w:lang w:val="ro-RO"/>
        </w:rPr>
        <w:t>Cratylos</w:t>
      </w:r>
      <w:r>
        <w:rPr>
          <w:sz w:val="20"/>
          <w:lang w:val="ro-RO"/>
        </w:rPr>
        <w:t>”</w:t>
      </w:r>
      <w:r w:rsidRPr="006A62D4">
        <w:rPr>
          <w:sz w:val="20"/>
          <w:lang w:val="ro-RO"/>
        </w:rPr>
        <w:t xml:space="preserve"> (400d), </w:t>
      </w:r>
      <w:r>
        <w:rPr>
          <w:sz w:val="20"/>
          <w:lang w:val="ro-RO"/>
        </w:rPr>
        <w:t>„</w:t>
      </w:r>
      <w:r w:rsidRPr="00EF6E40">
        <w:rPr>
          <w:sz w:val="20"/>
          <w:lang w:val="ro-RO"/>
        </w:rPr>
        <w:t>Timeus</w:t>
      </w:r>
      <w:r>
        <w:rPr>
          <w:sz w:val="20"/>
          <w:lang w:val="ro-RO"/>
        </w:rPr>
        <w:t>” (</w:t>
      </w:r>
      <w:r w:rsidRPr="00EF6E40">
        <w:rPr>
          <w:sz w:val="20"/>
          <w:lang w:val="ro-RO"/>
        </w:rPr>
        <w:t xml:space="preserve">28c), </w:t>
      </w:r>
      <w:r>
        <w:rPr>
          <w:sz w:val="20"/>
          <w:lang w:val="ro-RO"/>
        </w:rPr>
        <w:t>„</w:t>
      </w:r>
      <w:r w:rsidRPr="00EF6E40">
        <w:rPr>
          <w:sz w:val="20"/>
          <w:lang w:val="ro-RO"/>
        </w:rPr>
        <w:t>Banchetul</w:t>
      </w:r>
      <w:r>
        <w:rPr>
          <w:sz w:val="20"/>
          <w:lang w:val="ro-RO"/>
        </w:rPr>
        <w:t>”</w:t>
      </w:r>
      <w:r w:rsidRPr="006A62D4">
        <w:rPr>
          <w:sz w:val="20"/>
          <w:lang w:val="ro-RO"/>
        </w:rPr>
        <w:t xml:space="preserve"> (211b). </w:t>
      </w:r>
    </w:p>
  </w:footnote>
  <w:footnote w:id="49">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proofErr w:type="gramStart"/>
      <w:r>
        <w:rPr>
          <w:sz w:val="20"/>
        </w:rPr>
        <w:t>„</w:t>
      </w:r>
      <w:r w:rsidRPr="00EF6E40">
        <w:rPr>
          <w:sz w:val="20"/>
          <w:lang w:val="ro-RO"/>
        </w:rPr>
        <w:t>Enneade</w:t>
      </w:r>
      <w:r>
        <w:rPr>
          <w:sz w:val="20"/>
          <w:lang w:val="ro-RO"/>
        </w:rPr>
        <w:t>”</w:t>
      </w:r>
      <w:r w:rsidRPr="006A62D4">
        <w:rPr>
          <w:i/>
          <w:sz w:val="20"/>
          <w:lang w:val="ro-RO"/>
        </w:rPr>
        <w:t>,</w:t>
      </w:r>
      <w:r w:rsidRPr="006A62D4">
        <w:rPr>
          <w:sz w:val="20"/>
          <w:lang w:val="ro-RO"/>
        </w:rPr>
        <w:t xml:space="preserve"> VI, 9 (9) 3-4, la M.A. Vannier, </w:t>
      </w:r>
      <w:r w:rsidRPr="006A62D4">
        <w:rPr>
          <w:i/>
          <w:sz w:val="20"/>
          <w:lang w:val="ro-RO"/>
        </w:rPr>
        <w:t>op. cit.,</w:t>
      </w:r>
      <w:r w:rsidRPr="006A62D4">
        <w:rPr>
          <w:sz w:val="20"/>
          <w:lang w:val="ro-RO"/>
        </w:rPr>
        <w:t xml:space="preserve"> p. 406.</w:t>
      </w:r>
      <w:proofErr w:type="gramEnd"/>
    </w:p>
  </w:footnote>
  <w:footnote w:id="50">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V, 3 (49), 14.</w:t>
      </w:r>
    </w:p>
  </w:footnote>
  <w:footnote w:id="51">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M.A. </w:t>
      </w:r>
      <w:r w:rsidRPr="006A62D4">
        <w:rPr>
          <w:sz w:val="20"/>
          <w:lang w:val="ro-RO"/>
        </w:rPr>
        <w:t xml:space="preserve">Vannier, </w:t>
      </w:r>
      <w:r w:rsidRPr="006A62D4">
        <w:rPr>
          <w:i/>
          <w:sz w:val="20"/>
          <w:lang w:val="ro-RO"/>
        </w:rPr>
        <w:t>op. cit.,</w:t>
      </w:r>
      <w:r w:rsidRPr="006A62D4">
        <w:rPr>
          <w:sz w:val="20"/>
          <w:lang w:val="ro-RO"/>
        </w:rPr>
        <w:t xml:space="preserve"> p. 407.</w:t>
      </w:r>
    </w:p>
  </w:footnote>
  <w:footnote w:id="52">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408.</w:t>
      </w:r>
    </w:p>
  </w:footnote>
  <w:footnote w:id="53">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 </w:t>
      </w:r>
      <w:r w:rsidRPr="006A62D4">
        <w:rPr>
          <w:sz w:val="20"/>
          <w:lang w:val="ro-RO"/>
        </w:rPr>
        <w:t xml:space="preserve">Hadot, </w:t>
      </w:r>
      <w:r w:rsidRPr="006A62D4">
        <w:rPr>
          <w:i/>
          <w:sz w:val="20"/>
          <w:lang w:val="ro-RO"/>
        </w:rPr>
        <w:t>op. cit.,</w:t>
      </w:r>
      <w:r w:rsidRPr="006A62D4">
        <w:rPr>
          <w:sz w:val="20"/>
          <w:lang w:val="ro-RO"/>
        </w:rPr>
        <w:t xml:space="preserve"> p. 189.</w:t>
      </w:r>
    </w:p>
  </w:footnote>
  <w:footnote w:id="54">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R. </w:t>
      </w:r>
      <w:r w:rsidRPr="006A62D4">
        <w:rPr>
          <w:sz w:val="20"/>
          <w:lang w:val="ro-RO"/>
        </w:rPr>
        <w:t xml:space="preserve">Mortley, </w:t>
      </w:r>
      <w:r w:rsidRPr="006A62D4">
        <w:rPr>
          <w:i/>
          <w:sz w:val="20"/>
          <w:lang w:val="ro-RO"/>
        </w:rPr>
        <w:t>From word to silence,</w:t>
      </w:r>
      <w:r w:rsidRPr="006A62D4">
        <w:rPr>
          <w:sz w:val="20"/>
          <w:lang w:val="ro-RO"/>
        </w:rPr>
        <w:t xml:space="preserve"> Bonn, t. II, 1986, pp. 274-275.</w:t>
      </w:r>
    </w:p>
  </w:footnote>
  <w:footnote w:id="55">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Cf. </w:t>
      </w:r>
      <w:r w:rsidRPr="006A62D4">
        <w:rPr>
          <w:sz w:val="20"/>
          <w:lang w:val="ro-RO"/>
        </w:rPr>
        <w:t xml:space="preserve">J. Briend, </w:t>
      </w:r>
      <w:r w:rsidRPr="006A62D4">
        <w:rPr>
          <w:i/>
          <w:sz w:val="20"/>
          <w:lang w:val="ro-RO"/>
        </w:rPr>
        <w:t>Dieu dans l’Ecriture,</w:t>
      </w:r>
      <w:r w:rsidRPr="006A62D4">
        <w:rPr>
          <w:sz w:val="20"/>
          <w:lang w:val="ro-RO"/>
        </w:rPr>
        <w:t xml:space="preserve"> Paris, Ed. Cerf, 1992, p. 91.</w:t>
      </w:r>
    </w:p>
  </w:footnote>
  <w:footnote w:id="56">
    <w:p w:rsidR="00EE6A7E" w:rsidRPr="00EF6E40" w:rsidRDefault="00EE6A7E" w:rsidP="00EE6A7E">
      <w:pPr>
        <w:pStyle w:val="FootnoteText"/>
        <w:jc w:val="both"/>
        <w:rPr>
          <w:sz w:val="20"/>
          <w:lang w:val="en-US"/>
        </w:rPr>
      </w:pPr>
      <w:r w:rsidRPr="006A62D4">
        <w:rPr>
          <w:rStyle w:val="FootnoteReference"/>
          <w:sz w:val="20"/>
        </w:rPr>
        <w:footnoteRef/>
      </w:r>
      <w:r w:rsidRPr="006A62D4">
        <w:rPr>
          <w:sz w:val="20"/>
        </w:rPr>
        <w:t xml:space="preserve"> </w:t>
      </w:r>
      <w:proofErr w:type="gramStart"/>
      <w:r>
        <w:rPr>
          <w:sz w:val="20"/>
        </w:rPr>
        <w:t>„</w:t>
      </w:r>
      <w:r w:rsidRPr="00EF6E40">
        <w:rPr>
          <w:sz w:val="20"/>
          <w:lang w:val="ro-RO"/>
        </w:rPr>
        <w:t>De vita Mosis</w:t>
      </w:r>
      <w:r>
        <w:rPr>
          <w:sz w:val="20"/>
          <w:lang w:val="ro-RO"/>
        </w:rPr>
        <w:t>”</w:t>
      </w:r>
      <w:r w:rsidRPr="00EF6E40">
        <w:rPr>
          <w:sz w:val="20"/>
          <w:lang w:val="ro-RO"/>
        </w:rPr>
        <w:t xml:space="preserve"> I, 158.</w:t>
      </w:r>
      <w:proofErr w:type="gramEnd"/>
    </w:p>
  </w:footnote>
  <w:footnote w:id="57">
    <w:p w:rsidR="00EE6A7E" w:rsidRPr="006A62D4" w:rsidRDefault="00EE6A7E" w:rsidP="00EE6A7E">
      <w:pPr>
        <w:pStyle w:val="FootnoteText"/>
        <w:jc w:val="both"/>
        <w:rPr>
          <w:sz w:val="20"/>
          <w:lang w:val="en-US"/>
        </w:rPr>
      </w:pPr>
      <w:r w:rsidRPr="00EF6E40">
        <w:rPr>
          <w:rStyle w:val="FootnoteReference"/>
          <w:sz w:val="20"/>
        </w:rPr>
        <w:footnoteRef/>
      </w:r>
      <w:r w:rsidRPr="00EF6E40">
        <w:rPr>
          <w:sz w:val="20"/>
        </w:rPr>
        <w:t xml:space="preserve"> </w:t>
      </w:r>
      <w:proofErr w:type="gramStart"/>
      <w:r>
        <w:rPr>
          <w:sz w:val="20"/>
        </w:rPr>
        <w:t>„</w:t>
      </w:r>
      <w:r w:rsidRPr="00EF6E40">
        <w:rPr>
          <w:sz w:val="20"/>
          <w:lang w:val="ro-RO"/>
        </w:rPr>
        <w:t>De Mutatione Nominum</w:t>
      </w:r>
      <w:r>
        <w:rPr>
          <w:sz w:val="20"/>
          <w:lang w:val="ro-RO"/>
        </w:rPr>
        <w:t>”</w:t>
      </w:r>
      <w:r w:rsidRPr="00EF6E40">
        <w:rPr>
          <w:sz w:val="20"/>
          <w:lang w:val="ro-RO"/>
        </w:rPr>
        <w:t>,</w:t>
      </w:r>
      <w:r w:rsidRPr="006A62D4">
        <w:rPr>
          <w:sz w:val="20"/>
          <w:lang w:val="ro-RO"/>
        </w:rPr>
        <w:t xml:space="preserve"> 11, 15.</w:t>
      </w:r>
      <w:proofErr w:type="gramEnd"/>
    </w:p>
  </w:footnote>
  <w:footnote w:id="58">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11.</w:t>
      </w:r>
    </w:p>
  </w:footnote>
  <w:footnote w:id="59">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J.M. </w:t>
      </w:r>
      <w:r w:rsidRPr="006A62D4">
        <w:rPr>
          <w:sz w:val="20"/>
          <w:lang w:val="ro-RO"/>
        </w:rPr>
        <w:t xml:space="preserve">Starr, </w:t>
      </w:r>
      <w:r w:rsidRPr="006A62D4">
        <w:rPr>
          <w:i/>
          <w:sz w:val="20"/>
          <w:lang w:val="ro-RO"/>
        </w:rPr>
        <w:t>op. cit.,</w:t>
      </w:r>
      <w:r w:rsidRPr="006A62D4">
        <w:rPr>
          <w:sz w:val="20"/>
          <w:lang w:val="ro-RO"/>
        </w:rPr>
        <w:t xml:space="preserve"> p. 97.</w:t>
      </w:r>
    </w:p>
  </w:footnote>
  <w:footnote w:id="60">
    <w:p w:rsidR="00EE6A7E" w:rsidRPr="006A62D4" w:rsidRDefault="00EE6A7E" w:rsidP="00EE6A7E">
      <w:pPr>
        <w:jc w:val="both"/>
        <w:rPr>
          <w:rFonts w:cs="Times New Roman"/>
          <w:sz w:val="20"/>
          <w:szCs w:val="20"/>
          <w:lang w:val="ro-RO"/>
        </w:rPr>
      </w:pPr>
      <w:r w:rsidRPr="006A62D4">
        <w:rPr>
          <w:rStyle w:val="FootnoteReference"/>
          <w:rFonts w:cs="Times New Roman"/>
          <w:sz w:val="20"/>
          <w:szCs w:val="20"/>
        </w:rPr>
        <w:footnoteRef/>
      </w:r>
      <w:r w:rsidRPr="006A62D4">
        <w:rPr>
          <w:rFonts w:cs="Times New Roman"/>
          <w:sz w:val="20"/>
          <w:szCs w:val="20"/>
        </w:rPr>
        <w:t xml:space="preserve"> </w:t>
      </w:r>
      <w:r w:rsidRPr="006A62D4">
        <w:rPr>
          <w:rFonts w:cs="Times New Roman"/>
          <w:sz w:val="20"/>
          <w:szCs w:val="20"/>
          <w:lang w:val="ro-RO"/>
        </w:rPr>
        <w:t xml:space="preserve">În </w:t>
      </w:r>
      <w:r w:rsidRPr="006A62D4">
        <w:rPr>
          <w:rFonts w:cs="Times New Roman"/>
          <w:sz w:val="20"/>
          <w:szCs w:val="20"/>
          <w:lang w:val="ro-RO"/>
        </w:rPr>
        <w:t xml:space="preserve">Noul Testament întâlnim mai multe modalităţi de a exprima procesul cunoaşterii: I. </w:t>
      </w:r>
      <w:r w:rsidRPr="006A62D4">
        <w:rPr>
          <w:rFonts w:cs="Times New Roman"/>
          <w:i/>
          <w:sz w:val="20"/>
          <w:szCs w:val="20"/>
          <w:lang w:val="ro-RO"/>
        </w:rPr>
        <w:t>Ginosko</w:t>
      </w:r>
      <w:r w:rsidRPr="006A62D4">
        <w:rPr>
          <w:rFonts w:cs="Times New Roman"/>
          <w:sz w:val="20"/>
          <w:szCs w:val="20"/>
          <w:lang w:val="ro-RO"/>
        </w:rPr>
        <w:t xml:space="preserve">- a şti, a recunoaşte, a înţelege, (folosit de 221), cu formele derivate: </w:t>
      </w:r>
      <w:r w:rsidRPr="006A62D4">
        <w:rPr>
          <w:rFonts w:cs="Times New Roman"/>
          <w:i/>
          <w:sz w:val="20"/>
          <w:szCs w:val="20"/>
          <w:lang w:val="ro-RO"/>
        </w:rPr>
        <w:t>gnorizo</w:t>
      </w:r>
      <w:r w:rsidRPr="006A62D4">
        <w:rPr>
          <w:rFonts w:cs="Times New Roman"/>
          <w:sz w:val="20"/>
          <w:szCs w:val="20"/>
          <w:lang w:val="ro-RO"/>
        </w:rPr>
        <w:t xml:space="preserve"> (26), </w:t>
      </w:r>
      <w:r w:rsidRPr="006A62D4">
        <w:rPr>
          <w:rFonts w:cs="Times New Roman"/>
          <w:i/>
          <w:sz w:val="20"/>
          <w:szCs w:val="20"/>
          <w:lang w:val="ro-RO"/>
        </w:rPr>
        <w:t>gnosis</w:t>
      </w:r>
      <w:r w:rsidRPr="006A62D4">
        <w:rPr>
          <w:rFonts w:cs="Times New Roman"/>
          <w:sz w:val="20"/>
          <w:szCs w:val="20"/>
          <w:lang w:val="ro-RO"/>
        </w:rPr>
        <w:t xml:space="preserve"> ( 29), </w:t>
      </w:r>
      <w:r w:rsidRPr="006A62D4">
        <w:rPr>
          <w:rFonts w:cs="Times New Roman"/>
          <w:i/>
          <w:sz w:val="20"/>
          <w:szCs w:val="20"/>
          <w:lang w:val="ro-RO"/>
        </w:rPr>
        <w:t>gnostes</w:t>
      </w:r>
      <w:r w:rsidRPr="006A62D4">
        <w:rPr>
          <w:rFonts w:cs="Times New Roman"/>
          <w:sz w:val="20"/>
          <w:szCs w:val="20"/>
          <w:lang w:val="ro-RO"/>
        </w:rPr>
        <w:t xml:space="preserve"> (1), </w:t>
      </w:r>
      <w:r w:rsidRPr="006A62D4">
        <w:rPr>
          <w:rFonts w:cs="Times New Roman"/>
          <w:i/>
          <w:sz w:val="20"/>
          <w:szCs w:val="20"/>
          <w:lang w:val="ro-RO"/>
        </w:rPr>
        <w:t>gnostos</w:t>
      </w:r>
      <w:r w:rsidRPr="006A62D4">
        <w:rPr>
          <w:rFonts w:cs="Times New Roman"/>
          <w:sz w:val="20"/>
          <w:szCs w:val="20"/>
          <w:lang w:val="ro-RO"/>
        </w:rPr>
        <w:t xml:space="preserve"> (15), </w:t>
      </w:r>
      <w:r w:rsidRPr="006A62D4">
        <w:rPr>
          <w:rFonts w:cs="Times New Roman"/>
          <w:i/>
          <w:sz w:val="20"/>
          <w:szCs w:val="20"/>
          <w:lang w:val="ro-RO"/>
        </w:rPr>
        <w:t>a</w:t>
      </w:r>
      <w:r w:rsidRPr="006A62D4">
        <w:rPr>
          <w:rFonts w:cs="Times New Roman"/>
          <w:sz w:val="20"/>
          <w:szCs w:val="20"/>
          <w:lang w:val="ro-RO"/>
        </w:rPr>
        <w:t>-</w:t>
      </w:r>
      <w:r w:rsidRPr="006A62D4">
        <w:rPr>
          <w:rFonts w:cs="Times New Roman"/>
          <w:i/>
          <w:sz w:val="20"/>
          <w:szCs w:val="20"/>
          <w:lang w:val="ro-RO"/>
        </w:rPr>
        <w:t>gnoema</w:t>
      </w:r>
      <w:r w:rsidRPr="006A62D4">
        <w:rPr>
          <w:rFonts w:cs="Times New Roman"/>
          <w:sz w:val="20"/>
          <w:szCs w:val="20"/>
          <w:lang w:val="ro-RO"/>
        </w:rPr>
        <w:t xml:space="preserve"> (1), </w:t>
      </w:r>
      <w:r w:rsidRPr="006A62D4">
        <w:rPr>
          <w:rFonts w:cs="Times New Roman"/>
          <w:i/>
          <w:sz w:val="20"/>
          <w:szCs w:val="20"/>
          <w:lang w:val="ro-RO"/>
        </w:rPr>
        <w:t xml:space="preserve">a-gnoeo </w:t>
      </w:r>
      <w:r w:rsidRPr="006A62D4">
        <w:rPr>
          <w:rFonts w:cs="Times New Roman"/>
          <w:sz w:val="20"/>
          <w:szCs w:val="20"/>
          <w:lang w:val="ro-RO"/>
        </w:rPr>
        <w:t xml:space="preserve">(22), </w:t>
      </w:r>
      <w:r w:rsidRPr="006A62D4">
        <w:rPr>
          <w:rFonts w:cs="Times New Roman"/>
          <w:i/>
          <w:sz w:val="20"/>
          <w:szCs w:val="20"/>
          <w:lang w:val="ro-RO"/>
        </w:rPr>
        <w:t>a-gnoia</w:t>
      </w:r>
      <w:r w:rsidRPr="006A62D4">
        <w:rPr>
          <w:rFonts w:cs="Times New Roman"/>
          <w:sz w:val="20"/>
          <w:szCs w:val="20"/>
          <w:lang w:val="ro-RO"/>
        </w:rPr>
        <w:t xml:space="preserve"> (4), </w:t>
      </w:r>
      <w:r w:rsidRPr="006A62D4">
        <w:rPr>
          <w:rFonts w:cs="Times New Roman"/>
          <w:i/>
          <w:sz w:val="20"/>
          <w:szCs w:val="20"/>
          <w:lang w:val="ro-RO"/>
        </w:rPr>
        <w:t>a-gnosia</w:t>
      </w:r>
      <w:r w:rsidRPr="006A62D4">
        <w:rPr>
          <w:rFonts w:cs="Times New Roman"/>
          <w:sz w:val="20"/>
          <w:szCs w:val="20"/>
          <w:lang w:val="ro-RO"/>
        </w:rPr>
        <w:t xml:space="preserve"> (2), </w:t>
      </w:r>
      <w:r w:rsidRPr="006A62D4">
        <w:rPr>
          <w:rFonts w:cs="Times New Roman"/>
          <w:i/>
          <w:sz w:val="20"/>
          <w:szCs w:val="20"/>
          <w:lang w:val="ro-RO"/>
        </w:rPr>
        <w:t>a-gnostos</w:t>
      </w:r>
      <w:r w:rsidRPr="006A62D4">
        <w:rPr>
          <w:rFonts w:cs="Times New Roman"/>
          <w:sz w:val="20"/>
          <w:szCs w:val="20"/>
          <w:lang w:val="ro-RO"/>
        </w:rPr>
        <w:t xml:space="preserve"> (1), (</w:t>
      </w:r>
      <w:r w:rsidRPr="006A62D4">
        <w:rPr>
          <w:rFonts w:cs="Times New Roman"/>
          <w:i/>
          <w:sz w:val="20"/>
          <w:szCs w:val="20"/>
          <w:lang w:val="ro-RO"/>
        </w:rPr>
        <w:t>kardio</w:t>
      </w:r>
      <w:r w:rsidRPr="006A62D4">
        <w:rPr>
          <w:rFonts w:cs="Times New Roman"/>
          <w:sz w:val="20"/>
          <w:szCs w:val="20"/>
          <w:lang w:val="ro-RO"/>
        </w:rPr>
        <w:t xml:space="preserve">-) </w:t>
      </w:r>
      <w:r w:rsidRPr="006A62D4">
        <w:rPr>
          <w:rFonts w:cs="Times New Roman"/>
          <w:i/>
          <w:sz w:val="20"/>
          <w:szCs w:val="20"/>
          <w:lang w:val="ro-RO"/>
        </w:rPr>
        <w:t>gnostes</w:t>
      </w:r>
      <w:r w:rsidRPr="006A62D4">
        <w:rPr>
          <w:rFonts w:cs="Times New Roman"/>
          <w:sz w:val="20"/>
          <w:szCs w:val="20"/>
          <w:lang w:val="ro-RO"/>
        </w:rPr>
        <w:t xml:space="preserve"> (2), </w:t>
      </w:r>
      <w:r w:rsidRPr="006A62D4">
        <w:rPr>
          <w:rFonts w:cs="Times New Roman"/>
          <w:i/>
          <w:sz w:val="20"/>
          <w:szCs w:val="20"/>
          <w:lang w:val="ro-RO"/>
        </w:rPr>
        <w:t>dia</w:t>
      </w:r>
      <w:r w:rsidRPr="006A62D4">
        <w:rPr>
          <w:rFonts w:cs="Times New Roman"/>
          <w:sz w:val="20"/>
          <w:szCs w:val="20"/>
          <w:lang w:val="ro-RO"/>
        </w:rPr>
        <w:t>-</w:t>
      </w:r>
      <w:r w:rsidRPr="006A62D4">
        <w:rPr>
          <w:rFonts w:cs="Times New Roman"/>
          <w:i/>
          <w:sz w:val="20"/>
          <w:szCs w:val="20"/>
          <w:lang w:val="ro-RO"/>
        </w:rPr>
        <w:t>gnosko</w:t>
      </w:r>
      <w:r w:rsidRPr="006A62D4">
        <w:rPr>
          <w:rFonts w:cs="Times New Roman"/>
          <w:sz w:val="20"/>
          <w:szCs w:val="20"/>
          <w:lang w:val="ro-RO"/>
        </w:rPr>
        <w:t xml:space="preserve"> (2) </w:t>
      </w:r>
      <w:r w:rsidRPr="006A62D4">
        <w:rPr>
          <w:rFonts w:cs="Times New Roman"/>
          <w:i/>
          <w:sz w:val="20"/>
          <w:szCs w:val="20"/>
          <w:lang w:val="ro-RO"/>
        </w:rPr>
        <w:t>dia</w:t>
      </w:r>
      <w:r w:rsidRPr="006A62D4">
        <w:rPr>
          <w:rFonts w:cs="Times New Roman"/>
          <w:sz w:val="20"/>
          <w:szCs w:val="20"/>
          <w:lang w:val="ro-RO"/>
        </w:rPr>
        <w:t>-</w:t>
      </w:r>
      <w:r w:rsidRPr="006A62D4">
        <w:rPr>
          <w:rFonts w:cs="Times New Roman"/>
          <w:i/>
          <w:sz w:val="20"/>
          <w:szCs w:val="20"/>
          <w:lang w:val="ro-RO"/>
        </w:rPr>
        <w:t>gnosis</w:t>
      </w:r>
      <w:r w:rsidRPr="006A62D4">
        <w:rPr>
          <w:rFonts w:cs="Times New Roman"/>
          <w:sz w:val="20"/>
          <w:szCs w:val="20"/>
          <w:lang w:val="ro-RO"/>
        </w:rPr>
        <w:t xml:space="preserve"> (1), </w:t>
      </w:r>
      <w:r w:rsidRPr="006A62D4">
        <w:rPr>
          <w:rFonts w:cs="Times New Roman"/>
          <w:i/>
          <w:sz w:val="20"/>
          <w:szCs w:val="20"/>
          <w:lang w:val="ro-RO"/>
        </w:rPr>
        <w:t>epi</w:t>
      </w:r>
      <w:r w:rsidRPr="006A62D4">
        <w:rPr>
          <w:rFonts w:cs="Times New Roman"/>
          <w:sz w:val="20"/>
          <w:szCs w:val="20"/>
          <w:lang w:val="ro-RO"/>
        </w:rPr>
        <w:t>-</w:t>
      </w:r>
      <w:r w:rsidRPr="006A62D4">
        <w:rPr>
          <w:rFonts w:cs="Times New Roman"/>
          <w:i/>
          <w:sz w:val="20"/>
          <w:szCs w:val="20"/>
          <w:lang w:val="ro-RO"/>
        </w:rPr>
        <w:t>ginosko</w:t>
      </w:r>
      <w:r w:rsidRPr="006A62D4">
        <w:rPr>
          <w:rFonts w:cs="Times New Roman"/>
          <w:sz w:val="20"/>
          <w:szCs w:val="20"/>
          <w:lang w:val="ro-RO"/>
        </w:rPr>
        <w:t xml:space="preserve"> (44), </w:t>
      </w:r>
      <w:r w:rsidRPr="006A62D4">
        <w:rPr>
          <w:rFonts w:cs="Times New Roman"/>
          <w:i/>
          <w:sz w:val="20"/>
          <w:szCs w:val="20"/>
          <w:lang w:val="ro-RO"/>
        </w:rPr>
        <w:t>epi</w:t>
      </w:r>
      <w:r w:rsidRPr="006A62D4">
        <w:rPr>
          <w:rFonts w:cs="Times New Roman"/>
          <w:sz w:val="20"/>
          <w:szCs w:val="20"/>
          <w:lang w:val="ro-RO"/>
        </w:rPr>
        <w:t>-</w:t>
      </w:r>
      <w:r w:rsidRPr="006A62D4">
        <w:rPr>
          <w:rFonts w:cs="Times New Roman"/>
          <w:i/>
          <w:sz w:val="20"/>
          <w:szCs w:val="20"/>
          <w:lang w:val="ro-RO"/>
        </w:rPr>
        <w:t>gnosis</w:t>
      </w:r>
      <w:r w:rsidRPr="006A62D4">
        <w:rPr>
          <w:rFonts w:cs="Times New Roman"/>
          <w:sz w:val="20"/>
          <w:szCs w:val="20"/>
          <w:lang w:val="ro-RO"/>
        </w:rPr>
        <w:t xml:space="preserve"> (20), </w:t>
      </w:r>
      <w:r w:rsidRPr="006A62D4">
        <w:rPr>
          <w:rFonts w:cs="Times New Roman"/>
          <w:i/>
          <w:sz w:val="20"/>
          <w:szCs w:val="20"/>
          <w:lang w:val="ro-RO"/>
        </w:rPr>
        <w:t>pro</w:t>
      </w:r>
      <w:r w:rsidRPr="006A62D4">
        <w:rPr>
          <w:rFonts w:cs="Times New Roman"/>
          <w:sz w:val="20"/>
          <w:szCs w:val="20"/>
          <w:lang w:val="ro-RO"/>
        </w:rPr>
        <w:t>-</w:t>
      </w:r>
      <w:r w:rsidRPr="006A62D4">
        <w:rPr>
          <w:rFonts w:cs="Times New Roman"/>
          <w:i/>
          <w:sz w:val="20"/>
          <w:szCs w:val="20"/>
          <w:lang w:val="ro-RO"/>
        </w:rPr>
        <w:t>ginosko</w:t>
      </w:r>
      <w:r w:rsidRPr="006A62D4">
        <w:rPr>
          <w:rFonts w:cs="Times New Roman"/>
          <w:sz w:val="20"/>
          <w:szCs w:val="20"/>
          <w:lang w:val="ro-RO"/>
        </w:rPr>
        <w:t xml:space="preserve"> (5), </w:t>
      </w:r>
      <w:r w:rsidRPr="006A62D4">
        <w:rPr>
          <w:rFonts w:cs="Times New Roman"/>
          <w:i/>
          <w:sz w:val="20"/>
          <w:szCs w:val="20"/>
          <w:lang w:val="ro-RO"/>
        </w:rPr>
        <w:t>pro</w:t>
      </w:r>
      <w:r w:rsidRPr="006A62D4">
        <w:rPr>
          <w:rFonts w:cs="Times New Roman"/>
          <w:sz w:val="20"/>
          <w:szCs w:val="20"/>
          <w:lang w:val="ro-RO"/>
        </w:rPr>
        <w:t>-</w:t>
      </w:r>
      <w:r w:rsidRPr="006A62D4">
        <w:rPr>
          <w:rFonts w:cs="Times New Roman"/>
          <w:i/>
          <w:sz w:val="20"/>
          <w:szCs w:val="20"/>
          <w:lang w:val="ro-RO"/>
        </w:rPr>
        <w:t>gnosis</w:t>
      </w:r>
      <w:r w:rsidRPr="006A62D4">
        <w:rPr>
          <w:rFonts w:cs="Times New Roman"/>
          <w:sz w:val="20"/>
          <w:szCs w:val="20"/>
          <w:lang w:val="ro-RO"/>
        </w:rPr>
        <w:t xml:space="preserve"> (2); II. </w:t>
      </w:r>
      <w:r w:rsidRPr="006A62D4">
        <w:rPr>
          <w:rFonts w:cs="Times New Roman"/>
          <w:i/>
          <w:sz w:val="20"/>
          <w:szCs w:val="20"/>
          <w:lang w:val="ro-RO"/>
        </w:rPr>
        <w:t>Oida</w:t>
      </w:r>
      <w:r w:rsidRPr="006A62D4">
        <w:rPr>
          <w:rFonts w:cs="Times New Roman"/>
          <w:sz w:val="20"/>
          <w:szCs w:val="20"/>
          <w:lang w:val="ro-RO"/>
        </w:rPr>
        <w:t xml:space="preserve"> - a realiza, a-şi aminti, a înţelege (folosit de 326 ori) cu formele derivate: syn-</w:t>
      </w:r>
      <w:r w:rsidRPr="006A62D4">
        <w:rPr>
          <w:rFonts w:cs="Times New Roman"/>
          <w:i/>
          <w:sz w:val="20"/>
          <w:szCs w:val="20"/>
          <w:lang w:val="ro-RO"/>
        </w:rPr>
        <w:t>eidesis</w:t>
      </w:r>
      <w:r w:rsidRPr="006A62D4">
        <w:rPr>
          <w:rFonts w:cs="Times New Roman"/>
          <w:sz w:val="20"/>
          <w:szCs w:val="20"/>
          <w:lang w:val="ro-RO"/>
        </w:rPr>
        <w:t xml:space="preserve">(31), </w:t>
      </w:r>
      <w:r w:rsidRPr="006A62D4">
        <w:rPr>
          <w:rFonts w:cs="Times New Roman"/>
          <w:i/>
          <w:sz w:val="20"/>
          <w:szCs w:val="20"/>
          <w:lang w:val="ro-RO"/>
        </w:rPr>
        <w:t xml:space="preserve">syn-eidon </w:t>
      </w:r>
      <w:r w:rsidRPr="006A62D4">
        <w:rPr>
          <w:rFonts w:cs="Times New Roman"/>
          <w:sz w:val="20"/>
          <w:szCs w:val="20"/>
          <w:lang w:val="ro-RO"/>
        </w:rPr>
        <w:t xml:space="preserve">(2), </w:t>
      </w:r>
      <w:r w:rsidRPr="006A62D4">
        <w:rPr>
          <w:rFonts w:cs="Times New Roman"/>
          <w:i/>
          <w:sz w:val="20"/>
          <w:szCs w:val="20"/>
          <w:lang w:val="ro-RO"/>
        </w:rPr>
        <w:t>syn-oida</w:t>
      </w:r>
      <w:r w:rsidRPr="006A62D4">
        <w:rPr>
          <w:rFonts w:cs="Times New Roman"/>
          <w:sz w:val="20"/>
          <w:szCs w:val="20"/>
          <w:lang w:val="ro-RO"/>
        </w:rPr>
        <w:t xml:space="preserve"> (2); III. </w:t>
      </w:r>
      <w:r w:rsidRPr="006A62D4">
        <w:rPr>
          <w:rFonts w:cs="Times New Roman"/>
          <w:i/>
          <w:sz w:val="20"/>
          <w:szCs w:val="20"/>
          <w:lang w:val="ro-RO"/>
        </w:rPr>
        <w:t>Epistamai</w:t>
      </w:r>
      <w:r w:rsidRPr="006A62D4">
        <w:rPr>
          <w:rFonts w:cs="Times New Roman"/>
          <w:sz w:val="20"/>
          <w:szCs w:val="20"/>
          <w:lang w:val="ro-RO"/>
        </w:rPr>
        <w:t xml:space="preserve">- a şti bine, a înţelege (14), </w:t>
      </w:r>
      <w:r w:rsidRPr="006A62D4">
        <w:rPr>
          <w:rFonts w:cs="Times New Roman"/>
          <w:i/>
          <w:sz w:val="20"/>
          <w:szCs w:val="20"/>
          <w:lang w:val="ro-RO"/>
        </w:rPr>
        <w:t>epistemon</w:t>
      </w:r>
      <w:r w:rsidRPr="006A62D4">
        <w:rPr>
          <w:rFonts w:cs="Times New Roman"/>
          <w:sz w:val="20"/>
          <w:szCs w:val="20"/>
          <w:lang w:val="ro-RO"/>
        </w:rPr>
        <w:t xml:space="preserve"> (1); IV.</w:t>
      </w:r>
      <w:r w:rsidRPr="006A62D4">
        <w:rPr>
          <w:rFonts w:cs="Times New Roman"/>
          <w:i/>
          <w:sz w:val="20"/>
          <w:szCs w:val="20"/>
          <w:lang w:val="ro-RO"/>
        </w:rPr>
        <w:t xml:space="preserve"> Syn-(h)iemi </w:t>
      </w:r>
      <w:r w:rsidRPr="006A62D4">
        <w:rPr>
          <w:rFonts w:cs="Times New Roman"/>
          <w:sz w:val="20"/>
          <w:szCs w:val="20"/>
          <w:lang w:val="ro-RO"/>
        </w:rPr>
        <w:t xml:space="preserve">- a înţelege - percepţie, inteligenţă- deştept, </w:t>
      </w:r>
      <w:r w:rsidRPr="006A62D4">
        <w:rPr>
          <w:rFonts w:cs="Times New Roman"/>
          <w:i/>
          <w:sz w:val="20"/>
          <w:szCs w:val="20"/>
          <w:lang w:val="ro-RO"/>
        </w:rPr>
        <w:t xml:space="preserve">syn- (h)esis </w:t>
      </w:r>
      <w:r w:rsidRPr="006A62D4">
        <w:rPr>
          <w:rFonts w:cs="Times New Roman"/>
          <w:sz w:val="20"/>
          <w:szCs w:val="20"/>
          <w:lang w:val="ro-RO"/>
        </w:rPr>
        <w:t xml:space="preserve">(7), </w:t>
      </w:r>
      <w:r w:rsidRPr="006A62D4">
        <w:rPr>
          <w:rFonts w:cs="Times New Roman"/>
          <w:i/>
          <w:sz w:val="20"/>
          <w:szCs w:val="20"/>
          <w:lang w:val="ro-RO"/>
        </w:rPr>
        <w:t xml:space="preserve">syn-(h)etos </w:t>
      </w:r>
      <w:r w:rsidRPr="006A62D4">
        <w:rPr>
          <w:rFonts w:cs="Times New Roman"/>
          <w:sz w:val="20"/>
          <w:szCs w:val="20"/>
          <w:lang w:val="ro-RO"/>
        </w:rPr>
        <w:t xml:space="preserve">(4); V. </w:t>
      </w:r>
      <w:r w:rsidRPr="006A62D4">
        <w:rPr>
          <w:rFonts w:cs="Times New Roman"/>
          <w:i/>
          <w:sz w:val="20"/>
          <w:szCs w:val="20"/>
          <w:lang w:val="ro-RO"/>
        </w:rPr>
        <w:t>kata-lambano</w:t>
      </w:r>
      <w:r w:rsidRPr="006A62D4">
        <w:rPr>
          <w:rFonts w:cs="Times New Roman"/>
          <w:sz w:val="20"/>
          <w:szCs w:val="20"/>
          <w:lang w:val="ro-RO"/>
        </w:rPr>
        <w:t xml:space="preserve">- a pătrunde, a înţelege, a considera (5/15); VI. </w:t>
      </w:r>
      <w:r w:rsidRPr="006A62D4">
        <w:rPr>
          <w:rFonts w:cs="Times New Roman"/>
          <w:i/>
          <w:sz w:val="20"/>
          <w:szCs w:val="20"/>
          <w:lang w:val="ro-RO"/>
        </w:rPr>
        <w:t>aisthanomai</w:t>
      </w:r>
      <w:r w:rsidRPr="006A62D4">
        <w:rPr>
          <w:rFonts w:cs="Times New Roman"/>
          <w:sz w:val="20"/>
          <w:szCs w:val="20"/>
          <w:lang w:val="ro-RO"/>
        </w:rPr>
        <w:t xml:space="preserve"> - percepţie, a pătrunde înţelesul a ceva- minte (1), </w:t>
      </w:r>
      <w:r w:rsidRPr="006A62D4">
        <w:rPr>
          <w:rFonts w:cs="Times New Roman"/>
          <w:i/>
          <w:sz w:val="20"/>
          <w:szCs w:val="20"/>
          <w:lang w:val="ro-RO"/>
        </w:rPr>
        <w:t>aisthesis</w:t>
      </w:r>
      <w:r w:rsidRPr="006A62D4">
        <w:rPr>
          <w:rFonts w:cs="Times New Roman"/>
          <w:sz w:val="20"/>
          <w:szCs w:val="20"/>
          <w:lang w:val="ro-RO"/>
        </w:rPr>
        <w:t xml:space="preserve"> (1), </w:t>
      </w:r>
      <w:r w:rsidRPr="006A62D4">
        <w:rPr>
          <w:rFonts w:cs="Times New Roman"/>
          <w:i/>
          <w:sz w:val="20"/>
          <w:szCs w:val="20"/>
          <w:lang w:val="ro-RO"/>
        </w:rPr>
        <w:t>aistheterion</w:t>
      </w:r>
      <w:r w:rsidRPr="006A62D4">
        <w:rPr>
          <w:rFonts w:cs="Times New Roman"/>
          <w:sz w:val="20"/>
          <w:szCs w:val="20"/>
          <w:lang w:val="ro-RO"/>
        </w:rPr>
        <w:t xml:space="preserve"> (1); VII. </w:t>
      </w:r>
      <w:r w:rsidRPr="006A62D4">
        <w:rPr>
          <w:rFonts w:cs="Times New Roman"/>
          <w:i/>
          <w:sz w:val="20"/>
          <w:szCs w:val="20"/>
          <w:lang w:val="ro-RO"/>
        </w:rPr>
        <w:t>noeo</w:t>
      </w:r>
      <w:r w:rsidRPr="006A62D4">
        <w:rPr>
          <w:rFonts w:cs="Times New Roman"/>
          <w:sz w:val="20"/>
          <w:szCs w:val="20"/>
          <w:lang w:val="ro-RO"/>
        </w:rPr>
        <w:t xml:space="preserve">-raţiune, înţelegere - minte (14), </w:t>
      </w:r>
      <w:r w:rsidRPr="006A62D4">
        <w:rPr>
          <w:rFonts w:cs="Times New Roman"/>
          <w:i/>
          <w:sz w:val="20"/>
          <w:szCs w:val="20"/>
          <w:lang w:val="ro-RO"/>
        </w:rPr>
        <w:t>nous</w:t>
      </w:r>
      <w:r w:rsidRPr="006A62D4">
        <w:rPr>
          <w:rFonts w:cs="Times New Roman"/>
          <w:sz w:val="20"/>
          <w:szCs w:val="20"/>
          <w:lang w:val="ro-RO"/>
        </w:rPr>
        <w:t xml:space="preserve"> (24), </w:t>
      </w:r>
      <w:r w:rsidRPr="006A62D4">
        <w:rPr>
          <w:rFonts w:cs="Times New Roman"/>
          <w:i/>
          <w:sz w:val="20"/>
          <w:szCs w:val="20"/>
          <w:lang w:val="ro-RO"/>
        </w:rPr>
        <w:t>noema</w:t>
      </w:r>
      <w:r w:rsidRPr="006A62D4">
        <w:rPr>
          <w:rFonts w:cs="Times New Roman"/>
          <w:sz w:val="20"/>
          <w:szCs w:val="20"/>
          <w:lang w:val="ro-RO"/>
        </w:rPr>
        <w:t xml:space="preserve"> (4/6), </w:t>
      </w:r>
      <w:r w:rsidRPr="006A62D4">
        <w:rPr>
          <w:rFonts w:cs="Times New Roman"/>
          <w:i/>
          <w:sz w:val="20"/>
          <w:szCs w:val="20"/>
          <w:lang w:val="ro-RO"/>
        </w:rPr>
        <w:t>dia-noia</w:t>
      </w:r>
      <w:r w:rsidRPr="006A62D4">
        <w:rPr>
          <w:rFonts w:cs="Times New Roman"/>
          <w:sz w:val="20"/>
          <w:szCs w:val="20"/>
          <w:lang w:val="ro-RO"/>
        </w:rPr>
        <w:t xml:space="preserve"> (12), </w:t>
      </w:r>
      <w:r w:rsidRPr="006A62D4">
        <w:rPr>
          <w:rFonts w:cs="Times New Roman"/>
          <w:i/>
          <w:sz w:val="20"/>
          <w:szCs w:val="20"/>
          <w:lang w:val="ro-RO"/>
        </w:rPr>
        <w:t>noun-echos</w:t>
      </w:r>
      <w:r w:rsidRPr="006A62D4">
        <w:rPr>
          <w:rFonts w:cs="Times New Roman"/>
          <w:sz w:val="20"/>
          <w:szCs w:val="20"/>
          <w:lang w:val="ro-RO"/>
        </w:rPr>
        <w:t xml:space="preserve"> (1), </w:t>
      </w:r>
      <w:r w:rsidRPr="006A62D4">
        <w:rPr>
          <w:rFonts w:cs="Times New Roman"/>
          <w:i/>
          <w:sz w:val="20"/>
          <w:szCs w:val="20"/>
          <w:lang w:val="ro-RO"/>
        </w:rPr>
        <w:t>dys-noetos</w:t>
      </w:r>
      <w:r w:rsidRPr="006A62D4">
        <w:rPr>
          <w:rFonts w:cs="Times New Roman"/>
          <w:sz w:val="20"/>
          <w:szCs w:val="20"/>
          <w:lang w:val="ro-RO"/>
        </w:rPr>
        <w:t xml:space="preserve"> (1); VIII.</w:t>
      </w:r>
      <w:r w:rsidRPr="006A62D4">
        <w:rPr>
          <w:rFonts w:cs="Times New Roman"/>
          <w:i/>
          <w:sz w:val="20"/>
          <w:szCs w:val="20"/>
          <w:lang w:val="ro-RO"/>
        </w:rPr>
        <w:t xml:space="preserve"> A-logos</w:t>
      </w:r>
      <w:r w:rsidRPr="006A62D4">
        <w:rPr>
          <w:rFonts w:cs="Times New Roman"/>
          <w:sz w:val="20"/>
          <w:szCs w:val="20"/>
          <w:lang w:val="ro-RO"/>
        </w:rPr>
        <w:t xml:space="preserve"> - Raţiune- lipsa raţionării- iraţional, fără rost (3), </w:t>
      </w:r>
      <w:r w:rsidRPr="006A62D4">
        <w:rPr>
          <w:rFonts w:cs="Times New Roman"/>
          <w:i/>
          <w:sz w:val="20"/>
          <w:szCs w:val="20"/>
          <w:lang w:val="ro-RO"/>
        </w:rPr>
        <w:t xml:space="preserve">logikos </w:t>
      </w:r>
      <w:r w:rsidRPr="006A62D4">
        <w:rPr>
          <w:rFonts w:cs="Times New Roman"/>
          <w:sz w:val="20"/>
          <w:szCs w:val="20"/>
          <w:lang w:val="ro-RO"/>
        </w:rPr>
        <w:t xml:space="preserve">(2), </w:t>
      </w:r>
      <w:r w:rsidRPr="006A62D4">
        <w:rPr>
          <w:rFonts w:cs="Times New Roman"/>
          <w:i/>
          <w:sz w:val="20"/>
          <w:szCs w:val="20"/>
          <w:lang w:val="ro-RO"/>
        </w:rPr>
        <w:t>logos</w:t>
      </w:r>
      <w:r w:rsidRPr="006A62D4">
        <w:rPr>
          <w:rFonts w:cs="Times New Roman"/>
          <w:sz w:val="20"/>
          <w:szCs w:val="20"/>
          <w:lang w:val="ro-RO"/>
        </w:rPr>
        <w:t xml:space="preserve"> (1/334); IX. </w:t>
      </w:r>
      <w:r w:rsidRPr="006A62D4">
        <w:rPr>
          <w:rFonts w:cs="Times New Roman"/>
          <w:i/>
          <w:sz w:val="20"/>
          <w:szCs w:val="20"/>
          <w:lang w:val="ro-RO"/>
        </w:rPr>
        <w:t xml:space="preserve">a-peiros </w:t>
      </w:r>
      <w:r w:rsidRPr="006A62D4">
        <w:rPr>
          <w:rFonts w:cs="Times New Roman"/>
          <w:sz w:val="20"/>
          <w:szCs w:val="20"/>
          <w:lang w:val="ro-RO"/>
        </w:rPr>
        <w:t xml:space="preserve">- Neîndemânatic- a nu şti (1); X. </w:t>
      </w:r>
      <w:r w:rsidRPr="006A62D4">
        <w:rPr>
          <w:rFonts w:cs="Times New Roman"/>
          <w:i/>
          <w:sz w:val="20"/>
          <w:szCs w:val="20"/>
          <w:lang w:val="ro-RO"/>
        </w:rPr>
        <w:t>idiotes</w:t>
      </w:r>
      <w:r w:rsidRPr="006A62D4">
        <w:rPr>
          <w:rFonts w:cs="Times New Roman"/>
          <w:sz w:val="20"/>
          <w:szCs w:val="20"/>
          <w:lang w:val="ro-RO"/>
        </w:rPr>
        <w:t xml:space="preserve"> - laic - neiniţiat- neîndemînatic (5); XI. </w:t>
      </w:r>
      <w:r w:rsidRPr="006A62D4">
        <w:rPr>
          <w:rFonts w:cs="Times New Roman"/>
          <w:i/>
          <w:sz w:val="20"/>
          <w:szCs w:val="20"/>
          <w:lang w:val="ro-RO"/>
        </w:rPr>
        <w:t xml:space="preserve">ginomai en- </w:t>
      </w:r>
      <w:r w:rsidRPr="006A62D4">
        <w:rPr>
          <w:rFonts w:cs="Times New Roman"/>
          <w:sz w:val="20"/>
          <w:szCs w:val="20"/>
          <w:lang w:val="ro-RO"/>
        </w:rPr>
        <w:t xml:space="preserve">a-şi veni în sine, a redobândi simţurile (1), a se vedea şi toate trimiterile nou-testamentare în: Michael Darton, </w:t>
      </w:r>
      <w:r w:rsidRPr="006A62D4">
        <w:rPr>
          <w:rFonts w:cs="Times New Roman"/>
          <w:i/>
          <w:sz w:val="20"/>
          <w:szCs w:val="20"/>
          <w:lang w:val="ro-RO"/>
        </w:rPr>
        <w:t>Modern Concordance to the New Testament,</w:t>
      </w:r>
      <w:r w:rsidRPr="006A62D4">
        <w:rPr>
          <w:rFonts w:cs="Times New Roman"/>
          <w:sz w:val="20"/>
          <w:szCs w:val="20"/>
          <w:lang w:val="ro-RO"/>
        </w:rPr>
        <w:t xml:space="preserve"> Darton Longman, Londra, 1976, pp. 323-332</w:t>
      </w:r>
      <w:r w:rsidRPr="006A62D4">
        <w:rPr>
          <w:rFonts w:cs="Times New Roman"/>
          <w:i/>
          <w:sz w:val="20"/>
          <w:szCs w:val="20"/>
          <w:lang w:val="ro-RO"/>
        </w:rPr>
        <w:t xml:space="preserve">. </w:t>
      </w:r>
    </w:p>
  </w:footnote>
  <w:footnote w:id="61">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Paul W. Goch, </w:t>
      </w:r>
      <w:r w:rsidRPr="006A62D4">
        <w:rPr>
          <w:i/>
          <w:sz w:val="20"/>
          <w:lang w:val="ro-RO"/>
        </w:rPr>
        <w:t>Partial Knowledge: I Corinthians 13, Philosophical Studies in Paul,</w:t>
      </w:r>
      <w:r w:rsidRPr="006A62D4">
        <w:rPr>
          <w:sz w:val="20"/>
          <w:lang w:val="ro-RO"/>
        </w:rPr>
        <w:t xml:space="preserve"> University of Notre Dame Press, Indiana, 1987, pp. 142-161.</w:t>
      </w:r>
    </w:p>
  </w:footnote>
  <w:footnote w:id="62">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 xml:space="preserve">Gnosis </w:t>
      </w:r>
      <w:r w:rsidRPr="006A62D4">
        <w:rPr>
          <w:sz w:val="20"/>
          <w:lang w:val="ro-RO"/>
        </w:rPr>
        <w:t xml:space="preserve">înseamnă în primul rând, potrivit dicţionarului grec- francez alcătuit de M.A. Bailly, </w:t>
      </w:r>
      <w:r w:rsidRPr="006A62D4">
        <w:rPr>
          <w:i/>
          <w:sz w:val="20"/>
          <w:lang w:val="ro-RO"/>
        </w:rPr>
        <w:t>acţiunea de a cunoaşte, cunoaştere, noţiune</w:t>
      </w:r>
      <w:r w:rsidRPr="006A62D4">
        <w:rPr>
          <w:sz w:val="20"/>
          <w:lang w:val="ro-RO"/>
        </w:rPr>
        <w:t xml:space="preserve">, şi apoi </w:t>
      </w:r>
      <w:r w:rsidRPr="006A62D4">
        <w:rPr>
          <w:i/>
          <w:sz w:val="20"/>
          <w:lang w:val="ro-RO"/>
        </w:rPr>
        <w:t>ştiinţă,</w:t>
      </w:r>
      <w:r w:rsidRPr="006A62D4">
        <w:rPr>
          <w:sz w:val="20"/>
          <w:lang w:val="ro-RO"/>
        </w:rPr>
        <w:t xml:space="preserve"> p. 412.</w:t>
      </w:r>
    </w:p>
  </w:footnote>
  <w:footnote w:id="63">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Paul </w:t>
      </w:r>
      <w:r w:rsidRPr="006A62D4">
        <w:rPr>
          <w:sz w:val="20"/>
          <w:lang w:val="ro-RO"/>
        </w:rPr>
        <w:t xml:space="preserve">W. Goch, </w:t>
      </w:r>
      <w:r w:rsidRPr="006A62D4">
        <w:rPr>
          <w:i/>
          <w:sz w:val="20"/>
          <w:lang w:val="ro-RO"/>
        </w:rPr>
        <w:t>op. cit.,</w:t>
      </w:r>
      <w:r w:rsidRPr="006A62D4">
        <w:rPr>
          <w:sz w:val="20"/>
          <w:lang w:val="ro-RO"/>
        </w:rPr>
        <w:t xml:space="preserve"> p. 143.</w:t>
      </w:r>
    </w:p>
  </w:footnote>
  <w:footnote w:id="64">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 </w:t>
      </w:r>
      <w:r w:rsidRPr="006A62D4">
        <w:rPr>
          <w:sz w:val="20"/>
          <w:lang w:val="ro-RO"/>
        </w:rPr>
        <w:t>se vedea:</w:t>
      </w:r>
      <w:r w:rsidRPr="006A62D4">
        <w:rPr>
          <w:i/>
          <w:sz w:val="20"/>
          <w:lang w:val="ro-RO"/>
        </w:rPr>
        <w:t xml:space="preserve"> „</w:t>
      </w:r>
      <w:r w:rsidRPr="006A62D4">
        <w:rPr>
          <w:sz w:val="20"/>
          <w:lang w:val="ro-RO"/>
        </w:rPr>
        <w:t>Dimensiunea noetică a experienţei mistice în tradiţia ortodoxă”,</w:t>
      </w:r>
      <w:r w:rsidRPr="006A62D4">
        <w:rPr>
          <w:i/>
          <w:sz w:val="20"/>
          <w:lang w:val="ro-RO"/>
        </w:rPr>
        <w:t xml:space="preserve"> </w:t>
      </w:r>
      <w:r w:rsidRPr="006A62D4">
        <w:rPr>
          <w:sz w:val="20"/>
          <w:lang w:val="ro-RO"/>
        </w:rPr>
        <w:t>în lucrarea:</w:t>
      </w:r>
      <w:r w:rsidRPr="006A62D4">
        <w:rPr>
          <w:i/>
          <w:sz w:val="20"/>
          <w:lang w:val="ro-RO"/>
        </w:rPr>
        <w:t xml:space="preserve"> Taina prezenţei lui Dumnezeu în viaţa umană. Viziunea creatoare a Părintelui Profesor Dumitru Stăniloae,</w:t>
      </w:r>
      <w:r w:rsidRPr="006A62D4">
        <w:rPr>
          <w:sz w:val="20"/>
          <w:lang w:val="ro-RO"/>
        </w:rPr>
        <w:t xml:space="preserve"> Paralela 45, 2002, pp. 100-122.</w:t>
      </w:r>
    </w:p>
  </w:footnote>
  <w:footnote w:id="65">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P.W. </w:t>
      </w:r>
      <w:r w:rsidRPr="006A62D4">
        <w:rPr>
          <w:sz w:val="20"/>
          <w:lang w:val="ro-RO"/>
        </w:rPr>
        <w:t xml:space="preserve">Goch, </w:t>
      </w:r>
      <w:r w:rsidRPr="006A62D4">
        <w:rPr>
          <w:i/>
          <w:sz w:val="20"/>
          <w:lang w:val="ro-RO"/>
        </w:rPr>
        <w:t>op. cit.,</w:t>
      </w:r>
      <w:r w:rsidRPr="006A62D4">
        <w:rPr>
          <w:sz w:val="20"/>
          <w:lang w:val="ro-RO"/>
        </w:rPr>
        <w:t xml:space="preserve"> p. 144.</w:t>
      </w:r>
    </w:p>
  </w:footnote>
  <w:footnote w:id="66">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145.</w:t>
      </w:r>
    </w:p>
  </w:footnote>
  <w:footnote w:id="67">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Pentru </w:t>
      </w:r>
      <w:r w:rsidRPr="006A62D4">
        <w:rPr>
          <w:sz w:val="20"/>
          <w:lang w:val="ro-RO"/>
        </w:rPr>
        <w:t xml:space="preserve">a exprima această idee părintele Stăniloae scria: „deosebirea lui Iisus ca om, de ceilalţi oameni, stă în faptul că El ca om este nu un centru autonom de acte şi reacţii; ci centrul omenesc al acestora este în acelaşi timp şi centrul dumnezeiesc al lor şi al actelor Sale dumnezeieşti. Toată natura omenească a Sa s-a centrat prin aceasta nu în afară de Dumnezeu, ci în Dumnezeu-Cuvântul. Între oameni a păşit un om care nu mai e centrat în el însuşi, ci în Dumnezeu, e identic ca persoană cu Dumnezeu. Relaţiile celorlalţi oameni cu acest semen al lor nu sunt relaţii trăite în afară de Dumnezeu, ci relaţii cu Dumnezeu însuşi. Întrucât acest centru ipostatic are o putere de atracţie spre Dumnezeu şi de iradiere a binelui, care depăşeşte toate centrele pur omeneşti, el este centrul nostru. În mijlocul creaţiei s-a plasat pentru eternitate un centru personal omenesc, care e în acelaşi timp dumnezeiesc” (Pr. Prof. Dr. Dumitru Stăniloae, </w:t>
      </w:r>
      <w:r w:rsidRPr="006A62D4">
        <w:rPr>
          <w:i/>
          <w:sz w:val="20"/>
          <w:lang w:val="ro-RO"/>
        </w:rPr>
        <w:t>TDO,</w:t>
      </w:r>
      <w:r w:rsidRPr="006A62D4">
        <w:rPr>
          <w:sz w:val="20"/>
          <w:lang w:val="ro-RO"/>
        </w:rPr>
        <w:t xml:space="preserve"> vol. II..., p. 41). Prin urmare, trebuie să afirmăm clar faptul că, datorită </w:t>
      </w:r>
      <w:r w:rsidRPr="006A62D4">
        <w:rPr>
          <w:i/>
          <w:sz w:val="20"/>
          <w:lang w:val="ro-RO"/>
        </w:rPr>
        <w:t>unirii</w:t>
      </w:r>
      <w:r w:rsidRPr="006A62D4">
        <w:rPr>
          <w:sz w:val="20"/>
          <w:lang w:val="ro-RO"/>
        </w:rPr>
        <w:t xml:space="preserve"> </w:t>
      </w:r>
      <w:r w:rsidRPr="006A62D4">
        <w:rPr>
          <w:i/>
          <w:sz w:val="20"/>
          <w:lang w:val="ro-RO"/>
        </w:rPr>
        <w:t>ipostatice,</w:t>
      </w:r>
      <w:r w:rsidRPr="006A62D4">
        <w:rPr>
          <w:sz w:val="20"/>
          <w:lang w:val="ro-RO"/>
        </w:rPr>
        <w:t xml:space="preserve"> nu mai putem susţine o </w:t>
      </w:r>
      <w:r w:rsidRPr="006A62D4">
        <w:rPr>
          <w:i/>
          <w:sz w:val="20"/>
          <w:lang w:val="ro-RO"/>
        </w:rPr>
        <w:t>theognosie</w:t>
      </w:r>
      <w:r w:rsidRPr="006A62D4">
        <w:rPr>
          <w:sz w:val="20"/>
          <w:lang w:val="ro-RO"/>
        </w:rPr>
        <w:t xml:space="preserve"> „din afară”, ci „din interior”. Părintele Stăniloae vorbeşte despre </w:t>
      </w:r>
      <w:r w:rsidRPr="006A62D4">
        <w:rPr>
          <w:i/>
          <w:sz w:val="20"/>
          <w:lang w:val="ro-RO"/>
        </w:rPr>
        <w:t xml:space="preserve">„cunoaşterea lui Dumnezeu de către noi în Hristos” </w:t>
      </w:r>
      <w:r w:rsidRPr="006A62D4">
        <w:rPr>
          <w:sz w:val="20"/>
          <w:lang w:val="ro-RO"/>
        </w:rPr>
        <w:t xml:space="preserve">(s.n.), precizând că firea umană este „în Hristos la capătul desăvârşit al cunoaşterii de Dumnezeu şi deci şi al cunoaşterii de sine, sau dincolo de orice posibilitate de dezvoltare, la nivelul maxim la care se poate cunoaşte această fire şi la care poate cunoaşte pe Dumnezeu, şi Dumnezeu o cunoaşte de asemenea la acest capăt final şi maxim al ei. În Hristos a ajuns la împlinire ca în primul exemplar planul de mântuire şi de îndumnezeire a creaţiei. Mai sus nu poate duce acest plan. Dumnezeu nu vine mai aproape de om decât a făcut-o în Hristos. Unirea între Dumnezeu şi om nu poate înainta mai departe. Noi nu putem înainta la o mai mare împlinire decât în Hristos deoarece în El s-a realizat o interiorizare reciprocă totală între Dumnezeu şi umanitate, mai mult decât prin har. E o interiorizare într-un ipostas. În Hristos, Dumnezeu cunoaşte umanul ca pe Sine Însuşi, căci El e şi om, iar umanul cunoaşte pe Dumnezeu ca pe sine însuşi, căci acelaşi e şi Dumnezeu. În Hristos e dată posibilitatea ca noi să înaintăm spre treapta la care Dumnezeu cunoaşte pe om cum Se cunoaşte pe Sine Însuşi şi omul cunoaşte pe Dumnezeu cum se cunoaşte el însuşi (s.n.). Dar pentru aceasta noi trebuie să înaintăm spre unirea cu Hristos” (Idem, </w:t>
      </w:r>
      <w:r w:rsidRPr="006A62D4">
        <w:rPr>
          <w:i/>
          <w:sz w:val="20"/>
          <w:lang w:val="ro-RO"/>
        </w:rPr>
        <w:t>TDO,</w:t>
      </w:r>
      <w:r w:rsidRPr="006A62D4">
        <w:rPr>
          <w:sz w:val="20"/>
          <w:lang w:val="ro-RO"/>
        </w:rPr>
        <w:t xml:space="preserve"> vol. I…, pp. 241, 249, 242). Aceste cuvinte de o excepţională importanţă se găsesc în capitolul despre atributele divine, mai precis, la </w:t>
      </w:r>
      <w:r w:rsidRPr="00EF6E40">
        <w:rPr>
          <w:sz w:val="20"/>
          <w:lang w:val="ro-RO"/>
        </w:rPr>
        <w:t>„Atotştiinţa şi înţelepciunea lui Dumnezeu şi participarea creaturilor raţionale la ele”</w:t>
      </w:r>
      <w:r w:rsidRPr="006A62D4">
        <w:rPr>
          <w:sz w:val="20"/>
          <w:lang w:val="ro-RO"/>
        </w:rPr>
        <w:t xml:space="preserve"> (</w:t>
      </w:r>
      <w:r w:rsidRPr="006A62D4">
        <w:rPr>
          <w:i/>
          <w:sz w:val="20"/>
          <w:lang w:val="ro-RO"/>
        </w:rPr>
        <w:t>Ibidem</w:t>
      </w:r>
      <w:r w:rsidRPr="006A62D4">
        <w:rPr>
          <w:sz w:val="20"/>
          <w:lang w:val="ro-RO"/>
        </w:rPr>
        <w:t>, p. 229, sq.)</w:t>
      </w:r>
    </w:p>
  </w:footnote>
  <w:footnote w:id="68">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Ioan Gură de Aur, </w:t>
      </w:r>
      <w:r w:rsidRPr="006A62D4">
        <w:rPr>
          <w:i/>
          <w:sz w:val="20"/>
          <w:lang w:val="ro-RO"/>
        </w:rPr>
        <w:t xml:space="preserve">Despre necunoaşterea lui Dumnezeu, </w:t>
      </w:r>
      <w:r w:rsidRPr="006A62D4">
        <w:rPr>
          <w:sz w:val="20"/>
          <w:lang w:val="ro-RO"/>
        </w:rPr>
        <w:t>Ed</w:t>
      </w:r>
      <w:r w:rsidRPr="006A62D4">
        <w:rPr>
          <w:i/>
          <w:sz w:val="20"/>
          <w:lang w:val="ro-RO"/>
        </w:rPr>
        <w:t>.</w:t>
      </w:r>
      <w:r w:rsidRPr="006A62D4">
        <w:rPr>
          <w:sz w:val="20"/>
          <w:lang w:val="ro-RO"/>
        </w:rPr>
        <w:t xml:space="preserve"> Herald, Bucureşti, 2004, p. 19.</w:t>
      </w:r>
    </w:p>
  </w:footnote>
  <w:footnote w:id="69">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20.</w:t>
      </w:r>
    </w:p>
  </w:footnote>
  <w:footnote w:id="70">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Vladimir </w:t>
      </w:r>
      <w:r w:rsidRPr="006A62D4">
        <w:rPr>
          <w:sz w:val="20"/>
          <w:lang w:val="ro-RO"/>
        </w:rPr>
        <w:t xml:space="preserve">Lossky, </w:t>
      </w:r>
      <w:r w:rsidRPr="006A62D4">
        <w:rPr>
          <w:i/>
          <w:sz w:val="20"/>
          <w:lang w:val="ro-RO"/>
        </w:rPr>
        <w:t>Vederea lui Dumnezeu</w:t>
      </w:r>
      <w:r w:rsidRPr="006A62D4">
        <w:rPr>
          <w:sz w:val="20"/>
          <w:lang w:val="ro-RO"/>
        </w:rPr>
        <w:t>, Ed. Deisis, Sibiu, 1995, p. 23.</w:t>
      </w:r>
    </w:p>
  </w:footnote>
  <w:footnote w:id="71">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Prof. Dr. Dumitru Stăniloae, </w:t>
      </w:r>
      <w:r w:rsidRPr="006A62D4">
        <w:rPr>
          <w:i/>
          <w:sz w:val="20"/>
          <w:lang w:val="ro-RO"/>
        </w:rPr>
        <w:t>Ascetica şi mistica</w:t>
      </w:r>
      <w:r w:rsidRPr="006A62D4">
        <w:rPr>
          <w:sz w:val="20"/>
          <w:lang w:val="ro-RO"/>
        </w:rPr>
        <w:t>..., p. 242.</w:t>
      </w:r>
    </w:p>
  </w:footnote>
  <w:footnote w:id="72">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245.</w:t>
      </w:r>
    </w:p>
  </w:footnote>
  <w:footnote w:id="73">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Cuviosul </w:t>
      </w:r>
      <w:r w:rsidRPr="006A62D4">
        <w:rPr>
          <w:sz w:val="20"/>
          <w:lang w:val="ro-RO"/>
        </w:rPr>
        <w:t xml:space="preserve">Teognost, „Despre făptuire”, cap 5, în </w:t>
      </w:r>
      <w:r w:rsidRPr="006A62D4">
        <w:rPr>
          <w:i/>
          <w:sz w:val="20"/>
          <w:lang w:val="ro-RO"/>
        </w:rPr>
        <w:t>F</w:t>
      </w:r>
      <w:r>
        <w:rPr>
          <w:i/>
          <w:sz w:val="20"/>
          <w:lang w:val="ro-RO"/>
        </w:rPr>
        <w:t>.</w:t>
      </w:r>
      <w:r w:rsidRPr="006A62D4">
        <w:rPr>
          <w:i/>
          <w:sz w:val="20"/>
          <w:lang w:val="ro-RO"/>
        </w:rPr>
        <w:t>R</w:t>
      </w:r>
      <w:r>
        <w:rPr>
          <w:i/>
          <w:sz w:val="20"/>
          <w:lang w:val="ro-RO"/>
        </w:rPr>
        <w:t>.</w:t>
      </w:r>
      <w:r w:rsidRPr="006A62D4">
        <w:rPr>
          <w:i/>
          <w:sz w:val="20"/>
          <w:lang w:val="ro-RO"/>
        </w:rPr>
        <w:t>,</w:t>
      </w:r>
      <w:r w:rsidRPr="006A62D4">
        <w:rPr>
          <w:sz w:val="20"/>
          <w:lang w:val="ro-RO"/>
        </w:rPr>
        <w:t xml:space="preserve"> vol. 4…</w:t>
      </w:r>
      <w:r w:rsidRPr="006A62D4">
        <w:rPr>
          <w:i/>
          <w:sz w:val="20"/>
          <w:lang w:val="ro-RO"/>
        </w:rPr>
        <w:t>,</w:t>
      </w:r>
      <w:r w:rsidRPr="006A62D4">
        <w:rPr>
          <w:sz w:val="20"/>
          <w:lang w:val="ro-RO"/>
        </w:rPr>
        <w:t xml:space="preserve"> p. 248.</w:t>
      </w:r>
    </w:p>
  </w:footnote>
  <w:footnote w:id="74">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Arhim. </w:t>
      </w:r>
      <w:r w:rsidRPr="006A62D4">
        <w:rPr>
          <w:sz w:val="20"/>
          <w:lang w:val="ro-RO"/>
        </w:rPr>
        <w:t xml:space="preserve">Sofronie, </w:t>
      </w:r>
      <w:r w:rsidRPr="006A62D4">
        <w:rPr>
          <w:i/>
          <w:sz w:val="20"/>
          <w:lang w:val="ro-RO"/>
        </w:rPr>
        <w:t>Mistica vederii lui Dumnezeu,</w:t>
      </w:r>
      <w:r w:rsidRPr="006A62D4">
        <w:rPr>
          <w:sz w:val="20"/>
          <w:lang w:val="ro-RO"/>
        </w:rPr>
        <w:t xml:space="preserve"> Ed. Adonai, Bucureşti, 1995, p. 99.</w:t>
      </w:r>
    </w:p>
  </w:footnote>
  <w:footnote w:id="75">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Din </w:t>
      </w:r>
      <w:r w:rsidRPr="006A62D4">
        <w:rPr>
          <w:sz w:val="20"/>
          <w:lang w:val="ro-RO"/>
        </w:rPr>
        <w:t xml:space="preserve">slujba Sfintei Taine a Botezului, se rosteşte după imersiunea baptismală (de fapt verbul </w:t>
      </w:r>
      <w:r w:rsidRPr="006A62D4">
        <w:rPr>
          <w:i/>
          <w:sz w:val="20"/>
          <w:lang w:val="ro-RO"/>
        </w:rPr>
        <w:t>baptizo</w:t>
      </w:r>
      <w:r w:rsidRPr="006A62D4">
        <w:rPr>
          <w:sz w:val="20"/>
          <w:lang w:val="ro-RO"/>
        </w:rPr>
        <w:t xml:space="preserve"> înseamnă </w:t>
      </w:r>
      <w:r w:rsidRPr="006A62D4">
        <w:rPr>
          <w:i/>
          <w:sz w:val="20"/>
          <w:lang w:val="ro-RO"/>
        </w:rPr>
        <w:t>a afunda</w:t>
      </w:r>
      <w:r w:rsidRPr="006A62D4">
        <w:rPr>
          <w:sz w:val="20"/>
          <w:lang w:val="ro-RO"/>
        </w:rPr>
        <w:t>) şi înainte de Sfânta Taină a Mirungerii, după care se cântă „</w:t>
      </w:r>
      <w:r w:rsidRPr="006A62D4">
        <w:rPr>
          <w:i/>
          <w:sz w:val="20"/>
          <w:lang w:val="ro-RO"/>
        </w:rPr>
        <w:t>Câţi în Hristos v-aţi botezat, în Hristos v-aţi şi îmbrăcat</w:t>
      </w:r>
      <w:r w:rsidRPr="006A62D4">
        <w:rPr>
          <w:sz w:val="20"/>
          <w:lang w:val="ro-RO"/>
        </w:rPr>
        <w:t>”, deoarece Sfântul Duh ne conferă „haina” lui Hristos, ne hristomorfizează.</w:t>
      </w:r>
    </w:p>
  </w:footnote>
  <w:footnote w:id="76">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Afirmaţie </w:t>
      </w:r>
      <w:r w:rsidRPr="006A62D4">
        <w:rPr>
          <w:sz w:val="20"/>
          <w:lang w:val="ro-RO"/>
        </w:rPr>
        <w:t xml:space="preserve">spre sfârşitul slujbei </w:t>
      </w:r>
      <w:r w:rsidRPr="006A62D4">
        <w:rPr>
          <w:i/>
          <w:sz w:val="20"/>
          <w:lang w:val="ro-RO"/>
        </w:rPr>
        <w:t>Sfintei Liturghii.</w:t>
      </w:r>
    </w:p>
  </w:footnote>
  <w:footnote w:id="77">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V. </w:t>
      </w:r>
      <w:r w:rsidRPr="006A62D4">
        <w:rPr>
          <w:sz w:val="20"/>
          <w:lang w:val="ro-RO"/>
        </w:rPr>
        <w:t xml:space="preserve">Karayiannis, </w:t>
      </w:r>
      <w:r w:rsidRPr="006A62D4">
        <w:rPr>
          <w:i/>
          <w:sz w:val="20"/>
          <w:lang w:val="ro-RO"/>
        </w:rPr>
        <w:t>op. cit</w:t>
      </w:r>
      <w:r w:rsidRPr="006A62D4">
        <w:rPr>
          <w:sz w:val="20"/>
          <w:lang w:val="ro-RO"/>
        </w:rPr>
        <w:t>., p. 454.</w:t>
      </w:r>
    </w:p>
  </w:footnote>
  <w:footnote w:id="78">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Asist. Dr. Vasile Mihoc, </w:t>
      </w:r>
      <w:r w:rsidRPr="006A62D4">
        <w:rPr>
          <w:i/>
          <w:sz w:val="20"/>
          <w:lang w:val="ro-RO"/>
        </w:rPr>
        <w:t>Epistola Sfântului Apostol Pavel către Galateni,</w:t>
      </w:r>
      <w:r w:rsidRPr="006A62D4">
        <w:rPr>
          <w:sz w:val="20"/>
          <w:lang w:val="ro-RO"/>
        </w:rPr>
        <w:t xml:space="preserve"> teză de doctorat, Ed. I.B.M.B.O.R., Bucureşti, 1983, p. 151.</w:t>
      </w:r>
    </w:p>
  </w:footnote>
  <w:footnote w:id="79">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152.</w:t>
      </w:r>
    </w:p>
  </w:footnote>
  <w:footnote w:id="80">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J. </w:t>
      </w:r>
      <w:r w:rsidRPr="006A62D4">
        <w:rPr>
          <w:sz w:val="20"/>
          <w:lang w:val="ro-RO"/>
        </w:rPr>
        <w:t>Jeremias,</w:t>
      </w:r>
      <w:r w:rsidRPr="006A62D4">
        <w:rPr>
          <w:i/>
          <w:sz w:val="20"/>
          <w:lang w:val="ro-RO"/>
        </w:rPr>
        <w:t xml:space="preserve"> Abba. Jesus et Son Pere</w:t>
      </w:r>
      <w:r w:rsidRPr="006A62D4">
        <w:rPr>
          <w:sz w:val="20"/>
          <w:lang w:val="ro-RO"/>
        </w:rPr>
        <w:t xml:space="preserve">, Paris, 1972, p. 95, ş.u., la Pr. Dr. Vasile Mihoc, </w:t>
      </w:r>
      <w:r w:rsidRPr="006A62D4">
        <w:rPr>
          <w:i/>
          <w:sz w:val="20"/>
          <w:lang w:val="ro-RO"/>
        </w:rPr>
        <w:t>op. cit.,</w:t>
      </w:r>
      <w:r w:rsidRPr="006A62D4">
        <w:rPr>
          <w:sz w:val="20"/>
          <w:lang w:val="ro-RO"/>
        </w:rPr>
        <w:t xml:space="preserve"> p. 155.</w:t>
      </w:r>
    </w:p>
  </w:footnote>
  <w:footnote w:id="81">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Dr. Vasile Mihoc, </w:t>
      </w:r>
      <w:r w:rsidRPr="006A62D4">
        <w:rPr>
          <w:i/>
          <w:sz w:val="20"/>
          <w:lang w:val="ro-RO"/>
        </w:rPr>
        <w:t>op. cit.,</w:t>
      </w:r>
      <w:r w:rsidRPr="006A62D4">
        <w:rPr>
          <w:sz w:val="20"/>
          <w:lang w:val="ro-RO"/>
        </w:rPr>
        <w:t xml:space="preserve"> pp. 154-156.</w:t>
      </w:r>
    </w:p>
  </w:footnote>
  <w:footnote w:id="82">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 </w:t>
      </w:r>
      <w:r w:rsidRPr="006A62D4">
        <w:rPr>
          <w:sz w:val="20"/>
          <w:lang w:val="ro-RO"/>
        </w:rPr>
        <w:t xml:space="preserve">Zizioulas, </w:t>
      </w:r>
      <w:r w:rsidRPr="006A62D4">
        <w:rPr>
          <w:i/>
          <w:sz w:val="20"/>
          <w:lang w:val="ro-RO"/>
        </w:rPr>
        <w:t>Fiinţa ecclesială,</w:t>
      </w:r>
      <w:r w:rsidRPr="006A62D4">
        <w:rPr>
          <w:sz w:val="20"/>
          <w:lang w:val="ro-RO"/>
        </w:rPr>
        <w:t xml:space="preserve"> Ed. Bizantină, Bucureşti, 1996, p. 53.</w:t>
      </w:r>
    </w:p>
  </w:footnote>
  <w:footnote w:id="83">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Prof. Dr. Dumitru Stăniloae,</w:t>
      </w:r>
      <w:r w:rsidRPr="006A62D4">
        <w:rPr>
          <w:i/>
          <w:sz w:val="20"/>
          <w:lang w:val="ro-RO"/>
        </w:rPr>
        <w:t xml:space="preserve"> TDO</w:t>
      </w:r>
      <w:r w:rsidRPr="006A62D4">
        <w:rPr>
          <w:sz w:val="20"/>
          <w:lang w:val="ro-RO"/>
        </w:rPr>
        <w:t>, vol. I…</w:t>
      </w:r>
      <w:r w:rsidRPr="006A62D4">
        <w:rPr>
          <w:i/>
          <w:sz w:val="20"/>
          <w:lang w:val="ro-RO"/>
        </w:rPr>
        <w:t>,</w:t>
      </w:r>
      <w:r w:rsidRPr="006A62D4">
        <w:rPr>
          <w:sz w:val="20"/>
          <w:lang w:val="ro-RO"/>
        </w:rPr>
        <w:t xml:space="preserve"> p. 235.</w:t>
      </w:r>
    </w:p>
  </w:footnote>
  <w:footnote w:id="84">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Idem, </w:t>
      </w:r>
      <w:r w:rsidRPr="006A62D4">
        <w:rPr>
          <w:i/>
          <w:sz w:val="20"/>
          <w:lang w:val="ro-RO"/>
        </w:rPr>
        <w:t xml:space="preserve">Chipul nemuritor al lui Dumnezeu, </w:t>
      </w:r>
      <w:r w:rsidRPr="006A62D4">
        <w:rPr>
          <w:sz w:val="20"/>
          <w:lang w:val="ro-RO"/>
        </w:rPr>
        <w:t>Ed. Mitropoliei Craiovei, 1987, p. 98.</w:t>
      </w:r>
    </w:p>
  </w:footnote>
  <w:footnote w:id="85">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Maxim Mărturisitorul, </w:t>
      </w:r>
      <w:r>
        <w:rPr>
          <w:sz w:val="20"/>
          <w:lang w:val="ro-RO"/>
        </w:rPr>
        <w:t>„</w:t>
      </w:r>
      <w:r w:rsidRPr="00EF6E40">
        <w:rPr>
          <w:sz w:val="20"/>
          <w:lang w:val="ro-RO"/>
        </w:rPr>
        <w:t>Mystagogia</w:t>
      </w:r>
      <w:r>
        <w:rPr>
          <w:sz w:val="20"/>
          <w:lang w:val="ro-RO"/>
        </w:rPr>
        <w:t>”</w:t>
      </w:r>
      <w:r w:rsidRPr="00EF6E40">
        <w:rPr>
          <w:sz w:val="20"/>
          <w:lang w:val="ro-RO"/>
        </w:rPr>
        <w:t>,</w:t>
      </w:r>
      <w:r w:rsidRPr="006A62D4">
        <w:rPr>
          <w:i/>
          <w:sz w:val="20"/>
          <w:lang w:val="ro-RO"/>
        </w:rPr>
        <w:t xml:space="preserve"> PG </w:t>
      </w:r>
      <w:r w:rsidRPr="006A62D4">
        <w:rPr>
          <w:sz w:val="20"/>
          <w:lang w:val="ro-RO"/>
        </w:rPr>
        <w:t xml:space="preserve">91, 712AB; t.r. Pr. Prof. Dr. Dumitru Stăniloae, </w:t>
      </w:r>
      <w:r w:rsidRPr="006A62D4">
        <w:rPr>
          <w:i/>
          <w:sz w:val="20"/>
          <w:lang w:val="ro-RO"/>
        </w:rPr>
        <w:t>Mystagogia, Cosmosul şi sufletul, chipuri ale Bisericii</w:t>
      </w:r>
      <w:r w:rsidRPr="006A62D4">
        <w:rPr>
          <w:sz w:val="20"/>
          <w:lang w:val="ro-RO"/>
        </w:rPr>
        <w:t>, Ed. I.B.M.B.O.R., Bucureşti, 2000, p. 44.</w:t>
      </w:r>
    </w:p>
  </w:footnote>
  <w:footnote w:id="86">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Este </w:t>
      </w:r>
      <w:r w:rsidRPr="006A62D4">
        <w:rPr>
          <w:sz w:val="20"/>
          <w:lang w:val="ro-RO"/>
        </w:rPr>
        <w:t xml:space="preserve">semnificativ faptul că de la începutul perioadei Reformei s-a manifestat nemulţumirea faţă de folosirea termenului latin </w:t>
      </w:r>
      <w:r w:rsidRPr="006A62D4">
        <w:rPr>
          <w:i/>
          <w:sz w:val="20"/>
          <w:lang w:val="ro-RO"/>
        </w:rPr>
        <w:t>sacramentum</w:t>
      </w:r>
      <w:r w:rsidRPr="006A62D4">
        <w:rPr>
          <w:sz w:val="20"/>
          <w:lang w:val="ro-RO"/>
        </w:rPr>
        <w:t xml:space="preserve"> (împrumutat din limbajul militar şi înseamnă jurământ) şi s-a arătat că este o traducere incorectă a cuvântului nou-testamentar </w:t>
      </w:r>
      <w:r w:rsidRPr="006A62D4">
        <w:rPr>
          <w:i/>
          <w:sz w:val="20"/>
          <w:lang w:val="ro-RO"/>
        </w:rPr>
        <w:t>mysterion</w:t>
      </w:r>
      <w:r w:rsidRPr="006A62D4">
        <w:rPr>
          <w:sz w:val="20"/>
          <w:lang w:val="ro-RO"/>
        </w:rPr>
        <w:t>- deoarece se pune accentul pe obligativitatea primirii sacramentelor în vederea mântuirii, în loc să se sublinieze privilegiul de a primi harul lui Dumnezeu prin aceste lucrări minunate de sfinţire a vieţii omului.</w:t>
      </w:r>
      <w:r w:rsidRPr="006A62D4">
        <w:rPr>
          <w:rStyle w:val="FootnoteCharacters"/>
          <w:sz w:val="20"/>
          <w:lang w:val="ro-RO"/>
        </w:rPr>
        <w:t xml:space="preserve"> </w:t>
      </w:r>
      <w:r w:rsidRPr="006A62D4">
        <w:rPr>
          <w:sz w:val="20"/>
          <w:lang w:val="ro-RO"/>
        </w:rPr>
        <w:t xml:space="preserve">Zwingli se plângea deja spunând: „cuvântul </w:t>
      </w:r>
      <w:r w:rsidRPr="006A62D4">
        <w:rPr>
          <w:i/>
          <w:sz w:val="20"/>
          <w:lang w:val="ro-RO"/>
        </w:rPr>
        <w:t>sacramentum</w:t>
      </w:r>
      <w:r w:rsidRPr="006A62D4">
        <w:rPr>
          <w:sz w:val="20"/>
          <w:lang w:val="ro-RO"/>
        </w:rPr>
        <w:t xml:space="preserve"> nu exprimă în mod corect înţelesul lui </w:t>
      </w:r>
      <w:r w:rsidRPr="006A62D4">
        <w:rPr>
          <w:i/>
          <w:sz w:val="20"/>
          <w:lang w:val="ro-RO"/>
        </w:rPr>
        <w:t>mysterion</w:t>
      </w:r>
      <w:r w:rsidRPr="006A62D4">
        <w:rPr>
          <w:sz w:val="20"/>
          <w:lang w:val="ro-RO"/>
        </w:rPr>
        <w:t>”</w:t>
      </w:r>
      <w:r w:rsidRPr="006A62D4">
        <w:rPr>
          <w:rStyle w:val="FootnoteCharacters"/>
          <w:sz w:val="20"/>
          <w:lang w:val="ro-RO"/>
        </w:rPr>
        <w:t xml:space="preserve"> </w:t>
      </w:r>
      <w:r w:rsidRPr="006A62D4">
        <w:rPr>
          <w:sz w:val="20"/>
          <w:lang w:val="ro-RO"/>
        </w:rPr>
        <w:t xml:space="preserve">(U. Zwingli, </w:t>
      </w:r>
      <w:r w:rsidRPr="006A62D4">
        <w:rPr>
          <w:i/>
          <w:sz w:val="20"/>
          <w:lang w:val="ro-RO"/>
        </w:rPr>
        <w:t>Komentar uber die wahre und falsche Religion</w:t>
      </w:r>
      <w:r w:rsidRPr="006A62D4">
        <w:rPr>
          <w:sz w:val="20"/>
          <w:lang w:val="ro-RO"/>
        </w:rPr>
        <w:t xml:space="preserve"> (n. 1), 23, sq.) şi dorea ca germanii să nu fi acceptat vreodată cuvântul „sacrament” în vocabularul lor - o nemulţumire pe care a preluat-o şi Friedrich Schleiermacher în Dogmatica sa. (F. Schleiermacher</w:t>
      </w:r>
      <w:r w:rsidRPr="006A62D4">
        <w:rPr>
          <w:i/>
          <w:sz w:val="20"/>
          <w:lang w:val="ro-RO"/>
        </w:rPr>
        <w:t>, Der christliche Glaube. Nach den Grundsatzen der evangelischen Kirche im Zusammenhange dargestellt,</w:t>
      </w:r>
      <w:r w:rsidRPr="006A62D4">
        <w:rPr>
          <w:sz w:val="20"/>
          <w:lang w:val="ro-RO"/>
        </w:rPr>
        <w:t xml:space="preserve"> ed. II-a revizuită, 1831, ed. M. Redeker, vol. II, 1960, p. 364 (trad. engl. </w:t>
      </w:r>
      <w:r w:rsidRPr="006A62D4">
        <w:rPr>
          <w:i/>
          <w:sz w:val="20"/>
          <w:lang w:val="ro-RO"/>
        </w:rPr>
        <w:t>The Christian Faith,</w:t>
      </w:r>
      <w:r w:rsidRPr="006A62D4">
        <w:rPr>
          <w:sz w:val="20"/>
          <w:lang w:val="ro-RO"/>
        </w:rPr>
        <w:t xml:space="preserve"> Edinburgh, 1948).</w:t>
      </w:r>
      <w:r w:rsidRPr="006A62D4">
        <w:rPr>
          <w:i/>
          <w:sz w:val="20"/>
          <w:lang w:val="ro-RO"/>
        </w:rPr>
        <w:t xml:space="preserve"> </w:t>
      </w:r>
      <w:r w:rsidRPr="006A62D4">
        <w:rPr>
          <w:sz w:val="20"/>
          <w:lang w:val="ro-RO"/>
        </w:rPr>
        <w:t xml:space="preserve">În anul 1520 Luther arăta că terminologia biblică nu justifică folosirea termenului „sacrament” pentru lucrări bisericeşti (M. Luther, </w:t>
      </w:r>
      <w:r w:rsidRPr="006A62D4">
        <w:rPr>
          <w:i/>
          <w:sz w:val="20"/>
          <w:lang w:val="ro-RO"/>
        </w:rPr>
        <w:t xml:space="preserve">De captivitate Babylonicae ecclesiae praeludium, </w:t>
      </w:r>
      <w:r w:rsidRPr="006A62D4">
        <w:rPr>
          <w:sz w:val="20"/>
          <w:lang w:val="ro-RO"/>
        </w:rPr>
        <w:t>1520, WA 6, 501, 37, sq.).</w:t>
      </w:r>
      <w:r w:rsidRPr="006A62D4">
        <w:rPr>
          <w:rStyle w:val="FootnoteCharacters"/>
          <w:sz w:val="20"/>
          <w:lang w:val="ro-RO"/>
        </w:rPr>
        <w:t xml:space="preserve"> </w:t>
      </w:r>
      <w:r w:rsidRPr="006A62D4">
        <w:rPr>
          <w:sz w:val="20"/>
          <w:lang w:val="ro-RO"/>
        </w:rPr>
        <w:t xml:space="preserve">Philip Melanchthon în lucrarea sa intitulată </w:t>
      </w:r>
      <w:r w:rsidRPr="006A62D4">
        <w:rPr>
          <w:i/>
          <w:sz w:val="20"/>
          <w:lang w:val="ro-RO"/>
        </w:rPr>
        <w:t>Loci Communes</w:t>
      </w:r>
      <w:r w:rsidRPr="006A62D4">
        <w:rPr>
          <w:sz w:val="20"/>
          <w:lang w:val="ro-RO"/>
        </w:rPr>
        <w:t xml:space="preserve"> (1521) dorea să numească „semne sau semne sacramentale... ceea ce alţii numeau sacramente” (P. Melanchton</w:t>
      </w:r>
      <w:r w:rsidRPr="006A62D4">
        <w:rPr>
          <w:i/>
          <w:sz w:val="20"/>
          <w:lang w:val="ro-RO"/>
        </w:rPr>
        <w:t>, Loci communes</w:t>
      </w:r>
      <w:r w:rsidRPr="006A62D4">
        <w:rPr>
          <w:sz w:val="20"/>
          <w:lang w:val="ro-RO"/>
        </w:rPr>
        <w:t xml:space="preserve">, 1521, ed. bilingvă latină-germană, tradusă cu note explicative de H.G. Pohlmann, Gutersloh 1993, 328 sq.), întrucât, conform terminologiei biblice, doar Iisus Hristos ar putea fi numit </w:t>
      </w:r>
      <w:r w:rsidRPr="006A62D4">
        <w:rPr>
          <w:i/>
          <w:sz w:val="20"/>
          <w:lang w:val="ro-RO"/>
        </w:rPr>
        <w:t xml:space="preserve">Sacrament. </w:t>
      </w:r>
      <w:r w:rsidRPr="006A62D4">
        <w:rPr>
          <w:sz w:val="20"/>
          <w:lang w:val="ro-RO"/>
        </w:rPr>
        <w:t xml:space="preserve">Pot fi găsite multe alte exemple în teologia protestantă care să ateste nemulţumirea faţă de termenul </w:t>
      </w:r>
      <w:r w:rsidRPr="006A62D4">
        <w:rPr>
          <w:i/>
          <w:sz w:val="20"/>
          <w:lang w:val="ro-RO"/>
        </w:rPr>
        <w:t>sacramentum.</w:t>
      </w:r>
      <w:r w:rsidRPr="006A62D4">
        <w:rPr>
          <w:sz w:val="20"/>
          <w:lang w:val="ro-RO"/>
        </w:rPr>
        <w:t xml:space="preserve"> Este foarte important de amintit faptul că acum 175 de ani F. Schleiermacher îşi exprima speranţa că problemele cauzate de termenul latin </w:t>
      </w:r>
      <w:r w:rsidRPr="006A62D4">
        <w:rPr>
          <w:i/>
          <w:sz w:val="20"/>
          <w:lang w:val="ro-RO"/>
        </w:rPr>
        <w:t>sacramentum</w:t>
      </w:r>
      <w:r w:rsidRPr="006A62D4">
        <w:rPr>
          <w:sz w:val="20"/>
          <w:lang w:val="ro-RO"/>
        </w:rPr>
        <w:t xml:space="preserve"> pot fi îndepărtate „</w:t>
      </w:r>
      <w:r w:rsidRPr="006A62D4">
        <w:rPr>
          <w:i/>
          <w:sz w:val="20"/>
          <w:lang w:val="ro-RO"/>
        </w:rPr>
        <w:t>prin apropierea de Biserica Răsăriteană, pentru care această denumire a rămas străină, şi care în schimb a folosit expresia mistere (taine)</w:t>
      </w:r>
      <w:r w:rsidRPr="006A62D4">
        <w:rPr>
          <w:sz w:val="20"/>
          <w:lang w:val="ro-RO"/>
        </w:rPr>
        <w:t xml:space="preserve">” (s.n.), (F. Schleiermacher, </w:t>
      </w:r>
      <w:r w:rsidRPr="006A62D4">
        <w:rPr>
          <w:i/>
          <w:sz w:val="20"/>
          <w:lang w:val="ro-RO"/>
        </w:rPr>
        <w:t xml:space="preserve">op. cit., </w:t>
      </w:r>
      <w:r w:rsidRPr="006A62D4">
        <w:rPr>
          <w:sz w:val="20"/>
          <w:lang w:val="ro-RO"/>
        </w:rPr>
        <w:t>p. 364).</w:t>
      </w:r>
    </w:p>
  </w:footnote>
  <w:footnote w:id="87">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V. </w:t>
      </w:r>
      <w:r w:rsidRPr="006A62D4">
        <w:rPr>
          <w:sz w:val="20"/>
          <w:lang w:val="ro-RO"/>
        </w:rPr>
        <w:t xml:space="preserve">Karayiannis, </w:t>
      </w:r>
      <w:r w:rsidRPr="006A62D4">
        <w:rPr>
          <w:i/>
          <w:sz w:val="20"/>
          <w:lang w:val="ro-RO"/>
        </w:rPr>
        <w:t>op. cit.,</w:t>
      </w:r>
      <w:r w:rsidRPr="006A62D4">
        <w:rPr>
          <w:sz w:val="20"/>
          <w:lang w:val="ro-RO"/>
        </w:rPr>
        <w:t xml:space="preserve"> p. 454.</w:t>
      </w:r>
    </w:p>
  </w:footnote>
  <w:footnote w:id="88">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Maxim Mărturisitorul, </w:t>
      </w:r>
      <w:r w:rsidRPr="006A62D4">
        <w:rPr>
          <w:i/>
          <w:sz w:val="20"/>
          <w:lang w:val="ro-RO"/>
        </w:rPr>
        <w:t>Mystagogia</w:t>
      </w:r>
      <w:r w:rsidRPr="006A62D4">
        <w:rPr>
          <w:sz w:val="20"/>
          <w:lang w:val="ro-RO"/>
        </w:rPr>
        <w:t>, t.r. cit., pp. 31-32.</w:t>
      </w:r>
    </w:p>
  </w:footnote>
  <w:footnote w:id="89">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V. </w:t>
      </w:r>
      <w:r w:rsidRPr="006A62D4">
        <w:rPr>
          <w:sz w:val="20"/>
          <w:lang w:val="ro-RO"/>
        </w:rPr>
        <w:t xml:space="preserve">Karayiannis, </w:t>
      </w:r>
      <w:r w:rsidRPr="006A62D4">
        <w:rPr>
          <w:i/>
          <w:sz w:val="20"/>
          <w:lang w:val="ro-RO"/>
        </w:rPr>
        <w:t>op. cit.,</w:t>
      </w:r>
      <w:r w:rsidRPr="006A62D4">
        <w:rPr>
          <w:sz w:val="20"/>
          <w:lang w:val="ro-RO"/>
        </w:rPr>
        <w:t xml:space="preserve"> p. 456.</w:t>
      </w:r>
    </w:p>
  </w:footnote>
  <w:footnote w:id="90">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În </w:t>
      </w:r>
      <w:r w:rsidRPr="006A62D4">
        <w:rPr>
          <w:sz w:val="20"/>
          <w:lang w:val="ro-RO"/>
        </w:rPr>
        <w:t xml:space="preserve">sensul etimologic, </w:t>
      </w:r>
      <w:r w:rsidRPr="006A62D4">
        <w:rPr>
          <w:i/>
          <w:sz w:val="20"/>
          <w:lang w:val="ro-RO"/>
        </w:rPr>
        <w:t>sym</w:t>
      </w:r>
      <w:r w:rsidRPr="006A62D4">
        <w:rPr>
          <w:sz w:val="20"/>
          <w:lang w:val="ro-RO"/>
        </w:rPr>
        <w:t xml:space="preserve"> şi </w:t>
      </w:r>
      <w:r w:rsidRPr="006A62D4">
        <w:rPr>
          <w:i/>
          <w:sz w:val="20"/>
          <w:lang w:val="ro-RO"/>
        </w:rPr>
        <w:t>balo</w:t>
      </w:r>
      <w:r w:rsidRPr="006A62D4">
        <w:rPr>
          <w:sz w:val="20"/>
          <w:lang w:val="ro-RO"/>
        </w:rPr>
        <w:t>, a aşeza împreună două realităţi, mai precis, atingerea necreatului de creat. Sfintele Taine sunt de fapt lucrări re-creatoare ale lui Dumnezeu, sunt actualizarea lucrării creatoare iniţiale, creaţia însăşi fiind o „taină”.</w:t>
      </w:r>
    </w:p>
  </w:footnote>
  <w:footnote w:id="91">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Maxim Mărturisitorul, </w:t>
      </w:r>
      <w:r w:rsidRPr="006A62D4">
        <w:rPr>
          <w:i/>
          <w:sz w:val="20"/>
          <w:lang w:val="ro-RO"/>
        </w:rPr>
        <w:t>Mystagogia</w:t>
      </w:r>
      <w:r w:rsidRPr="006A62D4">
        <w:rPr>
          <w:sz w:val="20"/>
          <w:lang w:val="ro-RO"/>
        </w:rPr>
        <w:t xml:space="preserve"> 709 C, t.r. cit., p. 43.</w:t>
      </w:r>
    </w:p>
  </w:footnote>
  <w:footnote w:id="92">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696CD, t.r. cit., pp. 34-35.</w:t>
      </w:r>
    </w:p>
  </w:footnote>
  <w:footnote w:id="93">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pp. 38-39.</w:t>
      </w:r>
    </w:p>
  </w:footnote>
  <w:footnote w:id="94">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V. </w:t>
      </w:r>
      <w:r w:rsidRPr="006A62D4">
        <w:rPr>
          <w:sz w:val="20"/>
          <w:lang w:val="ro-RO"/>
        </w:rPr>
        <w:t xml:space="preserve">Karayiannis, </w:t>
      </w:r>
      <w:r w:rsidRPr="006A62D4">
        <w:rPr>
          <w:i/>
          <w:sz w:val="20"/>
          <w:lang w:val="ro-RO"/>
        </w:rPr>
        <w:t>op. cit</w:t>
      </w:r>
      <w:r w:rsidRPr="006A62D4">
        <w:rPr>
          <w:sz w:val="20"/>
          <w:lang w:val="ro-RO"/>
        </w:rPr>
        <w:t>., p. 460.</w:t>
      </w:r>
    </w:p>
  </w:footnote>
  <w:footnote w:id="95">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 </w:t>
      </w:r>
      <w:r w:rsidRPr="006A62D4">
        <w:rPr>
          <w:sz w:val="20"/>
          <w:lang w:val="ro-RO"/>
        </w:rPr>
        <w:t xml:space="preserve">se vedea referiri la acest text petrin </w:t>
      </w:r>
      <w:r w:rsidRPr="006A62D4">
        <w:rPr>
          <w:i/>
          <w:sz w:val="20"/>
          <w:lang w:val="ro-RO"/>
        </w:rPr>
        <w:t>infra</w:t>
      </w:r>
      <w:r w:rsidRPr="006A62D4">
        <w:rPr>
          <w:sz w:val="20"/>
          <w:lang w:val="ro-RO"/>
        </w:rPr>
        <w:t xml:space="preserve">, capitolul despre </w:t>
      </w:r>
      <w:r w:rsidRPr="006A62D4">
        <w:rPr>
          <w:rStyle w:val="Emphasis"/>
          <w:sz w:val="20"/>
          <w:lang w:val="ro-RO"/>
        </w:rPr>
        <w:t>„</w:t>
      </w:r>
      <w:r w:rsidRPr="006A62D4">
        <w:rPr>
          <w:rStyle w:val="Emphasis"/>
          <w:i/>
          <w:sz w:val="20"/>
          <w:lang w:val="ro-RO"/>
        </w:rPr>
        <w:t>Domnul de-viaţă-făcătorul</w:t>
      </w:r>
      <w:r w:rsidRPr="006A62D4">
        <w:rPr>
          <w:sz w:val="20"/>
          <w:lang w:val="ro-RO"/>
        </w:rPr>
        <w:t>”</w:t>
      </w:r>
      <w:r w:rsidRPr="006A62D4">
        <w:rPr>
          <w:rStyle w:val="Emphasis"/>
          <w:sz w:val="20"/>
          <w:lang w:val="ro-RO"/>
        </w:rPr>
        <w:t xml:space="preserve"> -</w:t>
      </w:r>
      <w:r w:rsidRPr="006A62D4">
        <w:rPr>
          <w:rStyle w:val="Strong"/>
          <w:rFonts w:eastAsia="Batang"/>
          <w:sz w:val="20"/>
          <w:lang w:val="ro-RO"/>
        </w:rPr>
        <w:t xml:space="preserve"> Duhul theognosiei, al comuniunii fraţeşti - </w:t>
      </w:r>
      <w:r w:rsidRPr="006A62D4">
        <w:rPr>
          <w:rStyle w:val="Emphasis"/>
          <w:i/>
          <w:sz w:val="20"/>
          <w:lang w:val="ro-RO"/>
        </w:rPr>
        <w:t>koinonia</w:t>
      </w:r>
      <w:r w:rsidRPr="006A62D4">
        <w:rPr>
          <w:rStyle w:val="Strong"/>
          <w:rFonts w:eastAsia="Batang"/>
          <w:sz w:val="20"/>
          <w:lang w:val="ro-RO"/>
        </w:rPr>
        <w:t xml:space="preserve"> şi al sfinţirii/îndumnezeirii omului”.</w:t>
      </w:r>
    </w:p>
  </w:footnote>
  <w:footnote w:id="96">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 </w:t>
      </w:r>
      <w:r w:rsidRPr="006A62D4">
        <w:rPr>
          <w:sz w:val="20"/>
          <w:lang w:val="ro-RO"/>
        </w:rPr>
        <w:t xml:space="preserve">se vedea Pr. Prof. Dr. Dumitru Stăniloae, </w:t>
      </w:r>
      <w:r w:rsidRPr="006A62D4">
        <w:rPr>
          <w:i/>
          <w:sz w:val="20"/>
          <w:lang w:val="ro-RO"/>
        </w:rPr>
        <w:t>TDO,</w:t>
      </w:r>
      <w:r w:rsidRPr="006A62D4">
        <w:rPr>
          <w:sz w:val="20"/>
          <w:lang w:val="ro-RO"/>
        </w:rPr>
        <w:t xml:space="preserve"> vol. II…, capitolul despre Învierea şi Înălţarea Mântuitorului.</w:t>
      </w:r>
    </w:p>
  </w:footnote>
  <w:footnote w:id="97">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Cf. </w:t>
      </w:r>
      <w:r w:rsidRPr="006A62D4">
        <w:rPr>
          <w:sz w:val="20"/>
          <w:lang w:val="ro-RO"/>
        </w:rPr>
        <w:t>W. Volker</w:t>
      </w:r>
      <w:r w:rsidRPr="006A62D4">
        <w:rPr>
          <w:i/>
          <w:sz w:val="20"/>
          <w:lang w:val="ro-RO"/>
        </w:rPr>
        <w:t>, Der wahre Gnostiker nach Klemens von Alexandria</w:t>
      </w:r>
      <w:r w:rsidRPr="006A62D4">
        <w:rPr>
          <w:sz w:val="20"/>
          <w:lang w:val="ro-RO"/>
        </w:rPr>
        <w:t>, Berlin, 1952.</w:t>
      </w:r>
    </w:p>
  </w:footnote>
  <w:footnote w:id="98">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„Gnosticul” lui Clement nu se poate confunda cu ereticii numiţi gnostici, pe care Clement îi numeşte „falşi gnostici”, Vl. Lossky, </w:t>
      </w:r>
      <w:r w:rsidRPr="006A62D4">
        <w:rPr>
          <w:i/>
          <w:sz w:val="20"/>
          <w:lang w:val="ro-RO"/>
        </w:rPr>
        <w:t>Vederea lui Dumnezeu</w:t>
      </w:r>
      <w:r w:rsidRPr="006A62D4">
        <w:rPr>
          <w:sz w:val="20"/>
          <w:lang w:val="ro-RO"/>
        </w:rPr>
        <w:t>, Ed. Deisis, Sibiu, 1995, p. 42.</w:t>
      </w:r>
    </w:p>
  </w:footnote>
  <w:footnote w:id="99">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Andrew </w:t>
      </w:r>
      <w:r w:rsidRPr="006A62D4">
        <w:rPr>
          <w:sz w:val="20"/>
          <w:lang w:val="ro-RO"/>
        </w:rPr>
        <w:t xml:space="preserve">L. Pratt, </w:t>
      </w:r>
      <w:r>
        <w:rPr>
          <w:sz w:val="20"/>
          <w:lang w:val="ro-RO"/>
        </w:rPr>
        <w:t>„</w:t>
      </w:r>
      <w:r w:rsidRPr="00A363EE">
        <w:rPr>
          <w:sz w:val="20"/>
          <w:lang w:val="ro-RO"/>
        </w:rPr>
        <w:t>Clement of Alexandria: Eucharist as Gnosis</w:t>
      </w:r>
      <w:r>
        <w:rPr>
          <w:sz w:val="20"/>
          <w:lang w:val="ro-RO"/>
        </w:rPr>
        <w:t>”</w:t>
      </w:r>
      <w:r w:rsidRPr="00A363EE">
        <w:rPr>
          <w:sz w:val="20"/>
          <w:lang w:val="ro-RO"/>
        </w:rPr>
        <w:t>,</w:t>
      </w:r>
      <w:r w:rsidRPr="006A62D4">
        <w:rPr>
          <w:sz w:val="20"/>
          <w:lang w:val="ro-RO"/>
        </w:rPr>
        <w:t xml:space="preserve"> în </w:t>
      </w:r>
      <w:r w:rsidRPr="00A363EE">
        <w:rPr>
          <w:i/>
          <w:sz w:val="20"/>
          <w:lang w:val="ro-RO"/>
        </w:rPr>
        <w:t>Greek Orthodox Theological Review</w:t>
      </w:r>
      <w:r w:rsidRPr="006A62D4">
        <w:rPr>
          <w:sz w:val="20"/>
          <w:lang w:val="ro-RO"/>
        </w:rPr>
        <w:t>, vol. 32, nr. 2, 1987, p. 164.</w:t>
      </w:r>
    </w:p>
  </w:footnote>
  <w:footnote w:id="100">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Adică: </w:t>
      </w:r>
      <w:r w:rsidRPr="006A62D4">
        <w:rPr>
          <w:sz w:val="20"/>
          <w:lang w:val="ro-RO"/>
        </w:rPr>
        <w:t>fiind botezat.</w:t>
      </w:r>
    </w:p>
  </w:footnote>
  <w:footnote w:id="101">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12, </w:t>
      </w:r>
      <w:r w:rsidRPr="006A62D4">
        <w:rPr>
          <w:sz w:val="20"/>
          <w:lang w:val="ro-RO"/>
        </w:rPr>
        <w:t xml:space="preserve">119, 120, t.r. în </w:t>
      </w:r>
      <w:r w:rsidRPr="006A62D4">
        <w:rPr>
          <w:i/>
          <w:sz w:val="20"/>
          <w:lang w:val="ro-RO"/>
        </w:rPr>
        <w:t>P</w:t>
      </w:r>
      <w:r>
        <w:rPr>
          <w:i/>
          <w:sz w:val="20"/>
          <w:lang w:val="ro-RO"/>
        </w:rPr>
        <w:t>.</w:t>
      </w:r>
      <w:r w:rsidRPr="006A62D4">
        <w:rPr>
          <w:i/>
          <w:sz w:val="20"/>
          <w:lang w:val="ro-RO"/>
        </w:rPr>
        <w:t>S</w:t>
      </w:r>
      <w:r>
        <w:rPr>
          <w:i/>
          <w:sz w:val="20"/>
          <w:lang w:val="ro-RO"/>
        </w:rPr>
        <w:t>.</w:t>
      </w:r>
      <w:r w:rsidRPr="006A62D4">
        <w:rPr>
          <w:i/>
          <w:sz w:val="20"/>
          <w:lang w:val="ro-RO"/>
        </w:rPr>
        <w:t>B</w:t>
      </w:r>
      <w:r>
        <w:rPr>
          <w:i/>
          <w:sz w:val="20"/>
          <w:lang w:val="ro-RO"/>
        </w:rPr>
        <w:t>.</w:t>
      </w:r>
      <w:r w:rsidRPr="006A62D4">
        <w:rPr>
          <w:i/>
          <w:sz w:val="20"/>
          <w:lang w:val="ro-RO"/>
        </w:rPr>
        <w:t xml:space="preserve">, </w:t>
      </w:r>
      <w:r w:rsidRPr="006A62D4">
        <w:rPr>
          <w:sz w:val="20"/>
          <w:lang w:val="ro-RO"/>
        </w:rPr>
        <w:t>vol. 4, pp. 159-160.</w:t>
      </w:r>
    </w:p>
  </w:footnote>
  <w:footnote w:id="102">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R.B, </w:t>
      </w:r>
      <w:r w:rsidRPr="006A62D4">
        <w:rPr>
          <w:sz w:val="20"/>
          <w:lang w:val="ro-RO"/>
        </w:rPr>
        <w:t xml:space="preserve">Tollinton, </w:t>
      </w:r>
      <w:r w:rsidRPr="006A62D4">
        <w:rPr>
          <w:i/>
          <w:sz w:val="20"/>
          <w:lang w:val="ro-RO"/>
        </w:rPr>
        <w:t>Clement of Alexandria: A Study in Christian Liberalism,</w:t>
      </w:r>
      <w:r w:rsidRPr="006A62D4">
        <w:rPr>
          <w:sz w:val="20"/>
          <w:lang w:val="ro-RO"/>
        </w:rPr>
        <w:t xml:space="preserve"> London, 1914, p. 151, la A.L. Pratt, </w:t>
      </w:r>
      <w:r w:rsidRPr="006A62D4">
        <w:rPr>
          <w:i/>
          <w:sz w:val="20"/>
          <w:lang w:val="ro-RO"/>
        </w:rPr>
        <w:t>op.cit.,</w:t>
      </w:r>
      <w:r w:rsidRPr="006A62D4">
        <w:rPr>
          <w:sz w:val="20"/>
          <w:lang w:val="ro-RO"/>
        </w:rPr>
        <w:t xml:space="preserve"> p. 168.</w:t>
      </w:r>
    </w:p>
  </w:footnote>
  <w:footnote w:id="103">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Mt. </w:t>
      </w:r>
      <w:r w:rsidRPr="006A62D4">
        <w:rPr>
          <w:sz w:val="20"/>
          <w:lang w:val="ro-RO"/>
        </w:rPr>
        <w:t>26, 32.</w:t>
      </w:r>
    </w:p>
  </w:footnote>
  <w:footnote w:id="104">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T.r. </w:t>
      </w:r>
      <w:r w:rsidRPr="006A62D4">
        <w:rPr>
          <w:sz w:val="20"/>
          <w:lang w:val="ro-RO"/>
        </w:rPr>
        <w:t>cit., p. 248.</w:t>
      </w:r>
    </w:p>
  </w:footnote>
  <w:footnote w:id="105">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Adică: </w:t>
      </w:r>
      <w:r w:rsidRPr="006A62D4">
        <w:rPr>
          <w:sz w:val="20"/>
          <w:lang w:val="ro-RO"/>
        </w:rPr>
        <w:t>sângele euharistic (n. Pr. D. Fecioru).</w:t>
      </w:r>
    </w:p>
  </w:footnote>
  <w:footnote w:id="106">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In. </w:t>
      </w:r>
      <w:r w:rsidRPr="006A62D4">
        <w:rPr>
          <w:sz w:val="20"/>
          <w:lang w:val="ro-RO"/>
        </w:rPr>
        <w:t xml:space="preserve">1,14; Clement Alexandrinul, </w:t>
      </w:r>
      <w:r w:rsidRPr="006A62D4">
        <w:rPr>
          <w:i/>
          <w:sz w:val="20"/>
          <w:lang w:val="ro-RO"/>
        </w:rPr>
        <w:t>Pedagogul</w:t>
      </w:r>
      <w:r w:rsidRPr="006A62D4">
        <w:rPr>
          <w:sz w:val="20"/>
          <w:lang w:val="ro-RO"/>
        </w:rPr>
        <w:t>, II, 2, 19, t.r. cit., p. 241.</w:t>
      </w:r>
    </w:p>
  </w:footnote>
  <w:footnote w:id="107">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Fc. </w:t>
      </w:r>
      <w:r w:rsidRPr="006A62D4">
        <w:rPr>
          <w:sz w:val="20"/>
          <w:lang w:val="ro-RO"/>
        </w:rPr>
        <w:t>49, 11.</w:t>
      </w:r>
    </w:p>
  </w:footnote>
  <w:footnote w:id="108">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In. </w:t>
      </w:r>
      <w:r w:rsidRPr="006A62D4">
        <w:rPr>
          <w:sz w:val="20"/>
          <w:lang w:val="ro-RO"/>
        </w:rPr>
        <w:t>5, 1.</w:t>
      </w:r>
    </w:p>
  </w:footnote>
  <w:footnote w:id="109">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Clement </w:t>
      </w:r>
      <w:r w:rsidRPr="006A62D4">
        <w:rPr>
          <w:sz w:val="20"/>
          <w:lang w:val="ro-RO"/>
        </w:rPr>
        <w:t xml:space="preserve">Alexandrinul, </w:t>
      </w:r>
      <w:r w:rsidRPr="006A62D4">
        <w:rPr>
          <w:i/>
          <w:sz w:val="20"/>
          <w:lang w:val="ro-RO"/>
        </w:rPr>
        <w:t>Pedagogul,</w:t>
      </w:r>
      <w:r w:rsidRPr="006A62D4">
        <w:rPr>
          <w:sz w:val="20"/>
          <w:lang w:val="ro-RO"/>
        </w:rPr>
        <w:t xml:space="preserve"> I, 5, 15, t.r. cit., p. 175.</w:t>
      </w:r>
    </w:p>
  </w:footnote>
  <w:footnote w:id="110">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I, 6, 40, 1, p. 189.</w:t>
      </w:r>
    </w:p>
  </w:footnote>
  <w:footnote w:id="111">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41, 1; 42, 1, p. 190.</w:t>
      </w:r>
    </w:p>
  </w:footnote>
  <w:footnote w:id="112">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Poate </w:t>
      </w:r>
      <w:r w:rsidRPr="006A62D4">
        <w:rPr>
          <w:sz w:val="20"/>
          <w:lang w:val="ro-RO"/>
        </w:rPr>
        <w:t xml:space="preserve">fi o trimitere la Gal. 4, 19, unde Sfântul Apostol Pavel spune: </w:t>
      </w:r>
      <w:r w:rsidRPr="006A62D4">
        <w:rPr>
          <w:i/>
          <w:sz w:val="20"/>
          <w:lang w:val="ro-RO"/>
        </w:rPr>
        <w:t>„O, copiii mei, pentru care sufăr iarăşi durerile naşterii până ce Hristos va lua chip- [formă] în voi”- tekna mou, ous palin odino mehris ou morphothe Hristos en hymin.</w:t>
      </w:r>
      <w:r w:rsidRPr="006A62D4">
        <w:rPr>
          <w:sz w:val="20"/>
          <w:lang w:val="ro-RO"/>
        </w:rPr>
        <w:t xml:space="preserve"> Părintele Profesor Vasile Mihoc identifică în acest verset, al treilea aspect al metaforei maternităţii, după dragostea şi grija pentru ei, şi accentuarea faptului că naşterea se face în dureri. A se vedea: </w:t>
      </w:r>
      <w:r w:rsidRPr="006A62D4">
        <w:rPr>
          <w:i/>
          <w:sz w:val="20"/>
          <w:lang w:val="ro-RO"/>
        </w:rPr>
        <w:t>Epistola Sfântului Apostol Pavel către Galateni,</w:t>
      </w:r>
      <w:r w:rsidRPr="006A62D4">
        <w:rPr>
          <w:sz w:val="20"/>
          <w:lang w:val="ro-RO"/>
        </w:rPr>
        <w:t xml:space="preserve"> teză de doctorat, Ed. I.B.M.B.O.R., Bucureşti, 1983, pp. 169-170.</w:t>
      </w:r>
    </w:p>
  </w:footnote>
  <w:footnote w:id="113">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In. </w:t>
      </w:r>
      <w:r w:rsidRPr="006A62D4">
        <w:rPr>
          <w:sz w:val="20"/>
          <w:lang w:val="ro-RO"/>
        </w:rPr>
        <w:t>6, 52.</w:t>
      </w:r>
    </w:p>
  </w:footnote>
  <w:footnote w:id="114">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Clement </w:t>
      </w:r>
      <w:r w:rsidRPr="006A62D4">
        <w:rPr>
          <w:sz w:val="20"/>
          <w:lang w:val="ro-RO"/>
        </w:rPr>
        <w:t xml:space="preserve">Alexandrinul, </w:t>
      </w:r>
      <w:r w:rsidRPr="006A62D4">
        <w:rPr>
          <w:i/>
          <w:sz w:val="20"/>
          <w:lang w:val="ro-RO"/>
        </w:rPr>
        <w:t>Pedagogul,</w:t>
      </w:r>
      <w:r w:rsidRPr="006A62D4">
        <w:rPr>
          <w:sz w:val="20"/>
          <w:lang w:val="ro-RO"/>
        </w:rPr>
        <w:t xml:space="preserve"> I, 6, 42, 1, t.r. cit., p. 190.</w:t>
      </w:r>
    </w:p>
  </w:footnote>
  <w:footnote w:id="115">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47, 1.</w:t>
      </w:r>
    </w:p>
  </w:footnote>
  <w:footnote w:id="116">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In. </w:t>
      </w:r>
      <w:r w:rsidRPr="006A62D4">
        <w:rPr>
          <w:sz w:val="20"/>
          <w:lang w:val="ro-RO"/>
        </w:rPr>
        <w:t>6, 53.</w:t>
      </w:r>
    </w:p>
  </w:footnote>
  <w:footnote w:id="117">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Clement </w:t>
      </w:r>
      <w:r w:rsidRPr="006A62D4">
        <w:rPr>
          <w:sz w:val="20"/>
          <w:lang w:val="ro-RO"/>
        </w:rPr>
        <w:t xml:space="preserve">Alexandrinul, </w:t>
      </w:r>
      <w:r w:rsidRPr="006A62D4">
        <w:rPr>
          <w:i/>
          <w:sz w:val="20"/>
          <w:lang w:val="ro-RO"/>
        </w:rPr>
        <w:t>Pedagogul,</w:t>
      </w:r>
      <w:r w:rsidRPr="006A62D4">
        <w:rPr>
          <w:sz w:val="20"/>
          <w:lang w:val="ro-RO"/>
        </w:rPr>
        <w:t xml:space="preserve"> I, 6, 37, 1; 38, 1; t.r. cit., p. 188.</w:t>
      </w:r>
    </w:p>
  </w:footnote>
  <w:footnote w:id="118">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I, 1.</w:t>
      </w:r>
    </w:p>
  </w:footnote>
  <w:footnote w:id="119">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proofErr w:type="gramStart"/>
      <w:r>
        <w:rPr>
          <w:sz w:val="20"/>
        </w:rPr>
        <w:t>„</w:t>
      </w:r>
      <w:r w:rsidRPr="00A363EE">
        <w:rPr>
          <w:sz w:val="20"/>
          <w:lang w:val="ro-RO"/>
        </w:rPr>
        <w:t>Stromate</w:t>
      </w:r>
      <w:r>
        <w:rPr>
          <w:sz w:val="20"/>
          <w:lang w:val="ro-RO"/>
        </w:rPr>
        <w:t>”</w:t>
      </w:r>
      <w:r w:rsidRPr="00A363EE">
        <w:rPr>
          <w:sz w:val="20"/>
          <w:lang w:val="ro-RO"/>
        </w:rPr>
        <w:t>,</w:t>
      </w:r>
      <w:r w:rsidRPr="006A62D4">
        <w:rPr>
          <w:sz w:val="20"/>
          <w:lang w:val="ro-RO"/>
        </w:rPr>
        <w:t xml:space="preserve"> 5, 10, 65, 1; t.r. cit., p. 348.</w:t>
      </w:r>
      <w:proofErr w:type="gramEnd"/>
    </w:p>
  </w:footnote>
  <w:footnote w:id="120">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A.L. </w:t>
      </w:r>
      <w:r w:rsidRPr="006A62D4">
        <w:rPr>
          <w:sz w:val="20"/>
          <w:lang w:val="ro-RO"/>
        </w:rPr>
        <w:t xml:space="preserve">Pratt, </w:t>
      </w:r>
      <w:r w:rsidRPr="006A62D4">
        <w:rPr>
          <w:i/>
          <w:sz w:val="20"/>
          <w:lang w:val="ro-RO"/>
        </w:rPr>
        <w:t>op. cit</w:t>
      </w:r>
      <w:r w:rsidRPr="006A62D4">
        <w:rPr>
          <w:sz w:val="20"/>
          <w:lang w:val="ro-RO"/>
        </w:rPr>
        <w:t>., p. 173.</w:t>
      </w:r>
    </w:p>
  </w:footnote>
  <w:footnote w:id="121">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1 </w:t>
      </w:r>
      <w:r w:rsidRPr="006A62D4">
        <w:rPr>
          <w:sz w:val="20"/>
          <w:lang w:val="ro-RO"/>
        </w:rPr>
        <w:t>Cor. 3, 1-3.</w:t>
      </w:r>
    </w:p>
  </w:footnote>
  <w:footnote w:id="122">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Evr. </w:t>
      </w:r>
      <w:r w:rsidRPr="006A62D4">
        <w:rPr>
          <w:sz w:val="20"/>
          <w:lang w:val="ro-RO"/>
        </w:rPr>
        <w:t>5, 13-14.</w:t>
      </w:r>
    </w:p>
  </w:footnote>
  <w:footnote w:id="123">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Ps. </w:t>
      </w:r>
      <w:r w:rsidRPr="006A62D4">
        <w:rPr>
          <w:sz w:val="20"/>
          <w:lang w:val="ro-RO"/>
        </w:rPr>
        <w:t>33, 8.</w:t>
      </w:r>
    </w:p>
  </w:footnote>
  <w:footnote w:id="124">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Pr>
          <w:sz w:val="20"/>
        </w:rPr>
        <w:t>„</w:t>
      </w:r>
      <w:r w:rsidRPr="006A62D4">
        <w:rPr>
          <w:sz w:val="20"/>
          <w:lang w:val="ro-RO"/>
        </w:rPr>
        <w:t>Epistola VII</w:t>
      </w:r>
      <w:r>
        <w:rPr>
          <w:sz w:val="20"/>
          <w:lang w:val="ro-RO"/>
        </w:rPr>
        <w:t>”</w:t>
      </w:r>
      <w:r w:rsidRPr="006A62D4">
        <w:rPr>
          <w:sz w:val="20"/>
          <w:lang w:val="ro-RO"/>
        </w:rPr>
        <w:t>, 341CD.</w:t>
      </w:r>
    </w:p>
  </w:footnote>
  <w:footnote w:id="125">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Statul </w:t>
      </w:r>
      <w:r w:rsidRPr="006A62D4">
        <w:rPr>
          <w:sz w:val="20"/>
          <w:lang w:val="ro-RO"/>
        </w:rPr>
        <w:t>II, 378 A.</w:t>
      </w:r>
    </w:p>
  </w:footnote>
  <w:footnote w:id="126">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1 Cor. 5, 7.</w:t>
      </w:r>
    </w:p>
  </w:footnote>
  <w:footnote w:id="127">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In. </w:t>
      </w:r>
      <w:r w:rsidRPr="006A62D4">
        <w:rPr>
          <w:sz w:val="20"/>
          <w:lang w:val="ro-RO"/>
        </w:rPr>
        <w:t>17, 19.</w:t>
      </w:r>
    </w:p>
  </w:footnote>
  <w:footnote w:id="128">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Filip. </w:t>
      </w:r>
      <w:r w:rsidRPr="006A62D4">
        <w:rPr>
          <w:sz w:val="20"/>
          <w:lang w:val="ro-RO"/>
        </w:rPr>
        <w:t>4, 18.</w:t>
      </w:r>
    </w:p>
  </w:footnote>
  <w:footnote w:id="129">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Stromate</w:t>
      </w:r>
      <w:r w:rsidRPr="006A62D4">
        <w:rPr>
          <w:sz w:val="20"/>
          <w:lang w:val="ro-RO"/>
        </w:rPr>
        <w:t xml:space="preserve">, </w:t>
      </w:r>
      <w:r w:rsidRPr="006A62D4">
        <w:rPr>
          <w:sz w:val="20"/>
          <w:lang w:val="ro-RO"/>
        </w:rPr>
        <w:t>5,10, 66; 5,10, 67,1; t.r. cit., pp. 348-349.</w:t>
      </w:r>
    </w:p>
  </w:footnote>
  <w:footnote w:id="130">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Vl. </w:t>
      </w:r>
      <w:r w:rsidRPr="006A62D4">
        <w:rPr>
          <w:sz w:val="20"/>
          <w:lang w:val="ro-RO"/>
        </w:rPr>
        <w:t xml:space="preserve">Lossky, </w:t>
      </w:r>
      <w:r w:rsidRPr="006A62D4">
        <w:rPr>
          <w:i/>
          <w:sz w:val="20"/>
          <w:lang w:val="ro-RO"/>
        </w:rPr>
        <w:t xml:space="preserve">Vederea lui Dumnezeu..., </w:t>
      </w:r>
      <w:r w:rsidRPr="006A62D4">
        <w:rPr>
          <w:sz w:val="20"/>
          <w:lang w:val="ro-RO"/>
        </w:rPr>
        <w:t>pp. 37-45.</w:t>
      </w:r>
    </w:p>
  </w:footnote>
  <w:footnote w:id="131">
    <w:p w:rsidR="00EE6A7E" w:rsidRPr="006A62D4" w:rsidRDefault="00EE6A7E" w:rsidP="00EE6A7E">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38.</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pStyle w:val="Heading4"/>
      <w:suff w:val="nothing"/>
      <w:lvlText w:val=""/>
      <w:lvlJc w:val="left"/>
      <w:pPr>
        <w:tabs>
          <w:tab w:val="num" w:pos="864"/>
        </w:tabs>
        <w:ind w:left="864" w:hanging="864"/>
      </w:pPr>
    </w:lvl>
    <w:lvl w:ilvl="4">
      <w:start w:val="1"/>
      <w:numFmt w:val="none"/>
      <w:pStyle w:val="Heading5"/>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6A7E"/>
    <w:rsid w:val="0034512C"/>
    <w:rsid w:val="00345B4B"/>
    <w:rsid w:val="005078DF"/>
    <w:rsid w:val="00EE6A7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6A7E"/>
    <w:pPr>
      <w:suppressAutoHyphens/>
      <w:spacing w:after="0" w:line="240" w:lineRule="auto"/>
    </w:pPr>
    <w:rPr>
      <w:rFonts w:ascii="Times New Roman" w:eastAsia="Times New Roman" w:hAnsi="Times New Roman" w:cs="Calibri"/>
      <w:sz w:val="24"/>
      <w:szCs w:val="24"/>
      <w:lang w:val="de-CH" w:eastAsia="ar-SA"/>
    </w:rPr>
  </w:style>
  <w:style w:type="paragraph" w:styleId="Heading1">
    <w:name w:val="heading 1"/>
    <w:basedOn w:val="Normal"/>
    <w:next w:val="Normal"/>
    <w:link w:val="Heading1Char"/>
    <w:qFormat/>
    <w:rsid w:val="00EE6A7E"/>
    <w:pPr>
      <w:keepNext/>
      <w:numPr>
        <w:numId w:val="1"/>
      </w:numPr>
      <w:jc w:val="center"/>
      <w:outlineLvl w:val="0"/>
    </w:pPr>
    <w:rPr>
      <w:rFonts w:cs="Times New Roman"/>
      <w:b/>
      <w:bCs/>
      <w:lang w:val="fr-FR"/>
    </w:rPr>
  </w:style>
  <w:style w:type="paragraph" w:styleId="Heading2">
    <w:name w:val="heading 2"/>
    <w:basedOn w:val="Normal"/>
    <w:next w:val="Normal"/>
    <w:link w:val="Heading2Char"/>
    <w:uiPriority w:val="9"/>
    <w:qFormat/>
    <w:rsid w:val="00EE6A7E"/>
    <w:pPr>
      <w:keepNext/>
      <w:numPr>
        <w:ilvl w:val="1"/>
        <w:numId w:val="1"/>
      </w:numPr>
      <w:shd w:val="clear" w:color="auto" w:fill="FFFFFF"/>
      <w:tabs>
        <w:tab w:val="left" w:pos="274"/>
      </w:tabs>
      <w:spacing w:line="322" w:lineRule="exact"/>
      <w:jc w:val="center"/>
      <w:outlineLvl w:val="1"/>
    </w:pPr>
    <w:rPr>
      <w:rFonts w:cs="Times New Roman"/>
      <w:b/>
      <w:bCs/>
      <w:spacing w:val="-11"/>
      <w:szCs w:val="28"/>
      <w:lang w:val="ro-RO"/>
    </w:rPr>
  </w:style>
  <w:style w:type="paragraph" w:styleId="Heading3">
    <w:name w:val="heading 3"/>
    <w:basedOn w:val="Normal"/>
    <w:next w:val="Normal"/>
    <w:link w:val="Heading3Char"/>
    <w:qFormat/>
    <w:rsid w:val="00EE6A7E"/>
    <w:pPr>
      <w:keepNext/>
      <w:numPr>
        <w:ilvl w:val="2"/>
        <w:numId w:val="1"/>
      </w:numPr>
      <w:outlineLvl w:val="2"/>
    </w:pPr>
    <w:rPr>
      <w:rFonts w:cs="Times New Roman"/>
      <w:b/>
      <w:bCs/>
      <w:lang w:val="it-IT"/>
    </w:rPr>
  </w:style>
  <w:style w:type="paragraph" w:styleId="Heading4">
    <w:name w:val="heading 4"/>
    <w:basedOn w:val="Normal"/>
    <w:next w:val="Normal"/>
    <w:link w:val="Heading4Char"/>
    <w:qFormat/>
    <w:rsid w:val="00EE6A7E"/>
    <w:pPr>
      <w:keepNext/>
      <w:numPr>
        <w:ilvl w:val="3"/>
        <w:numId w:val="1"/>
      </w:numPr>
      <w:spacing w:before="240" w:after="60"/>
      <w:outlineLvl w:val="3"/>
    </w:pPr>
    <w:rPr>
      <w:rFonts w:cs="Times New Roman"/>
      <w:b/>
      <w:bCs/>
      <w:sz w:val="28"/>
      <w:szCs w:val="28"/>
      <w:lang w:val="ro-RO"/>
    </w:rPr>
  </w:style>
  <w:style w:type="paragraph" w:styleId="Heading5">
    <w:name w:val="heading 5"/>
    <w:basedOn w:val="Normal"/>
    <w:next w:val="Normal"/>
    <w:link w:val="Heading5Char"/>
    <w:qFormat/>
    <w:rsid w:val="00EE6A7E"/>
    <w:pPr>
      <w:numPr>
        <w:ilvl w:val="4"/>
        <w:numId w:val="1"/>
      </w:numPr>
      <w:spacing w:before="240" w:after="60"/>
      <w:outlineLvl w:val="4"/>
    </w:pPr>
    <w:rPr>
      <w:rFonts w:cs="Times New Roman"/>
      <w:b/>
      <w:bCs/>
      <w:i/>
      <w:iCs/>
      <w:sz w:val="26"/>
      <w:szCs w:val="26"/>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E6A7E"/>
    <w:rPr>
      <w:rFonts w:ascii="Times New Roman" w:eastAsia="Times New Roman" w:hAnsi="Times New Roman" w:cs="Times New Roman"/>
      <w:b/>
      <w:bCs/>
      <w:sz w:val="24"/>
      <w:szCs w:val="24"/>
      <w:lang w:val="fr-FR" w:eastAsia="ar-SA"/>
    </w:rPr>
  </w:style>
  <w:style w:type="character" w:customStyle="1" w:styleId="Heading2Char">
    <w:name w:val="Heading 2 Char"/>
    <w:basedOn w:val="DefaultParagraphFont"/>
    <w:link w:val="Heading2"/>
    <w:uiPriority w:val="9"/>
    <w:rsid w:val="00EE6A7E"/>
    <w:rPr>
      <w:rFonts w:ascii="Times New Roman" w:eastAsia="Times New Roman" w:hAnsi="Times New Roman" w:cs="Times New Roman"/>
      <w:b/>
      <w:bCs/>
      <w:spacing w:val="-11"/>
      <w:sz w:val="24"/>
      <w:szCs w:val="28"/>
      <w:shd w:val="clear" w:color="auto" w:fill="FFFFFF"/>
      <w:lang w:eastAsia="ar-SA"/>
    </w:rPr>
  </w:style>
  <w:style w:type="character" w:customStyle="1" w:styleId="Heading3Char">
    <w:name w:val="Heading 3 Char"/>
    <w:basedOn w:val="DefaultParagraphFont"/>
    <w:link w:val="Heading3"/>
    <w:rsid w:val="00EE6A7E"/>
    <w:rPr>
      <w:rFonts w:ascii="Times New Roman" w:eastAsia="Times New Roman" w:hAnsi="Times New Roman" w:cs="Times New Roman"/>
      <w:b/>
      <w:bCs/>
      <w:sz w:val="24"/>
      <w:szCs w:val="24"/>
      <w:lang w:val="it-IT" w:eastAsia="ar-SA"/>
    </w:rPr>
  </w:style>
  <w:style w:type="character" w:customStyle="1" w:styleId="Heading4Char">
    <w:name w:val="Heading 4 Char"/>
    <w:basedOn w:val="DefaultParagraphFont"/>
    <w:link w:val="Heading4"/>
    <w:rsid w:val="00EE6A7E"/>
    <w:rPr>
      <w:rFonts w:ascii="Times New Roman" w:eastAsia="Times New Roman" w:hAnsi="Times New Roman" w:cs="Times New Roman"/>
      <w:b/>
      <w:bCs/>
      <w:sz w:val="28"/>
      <w:szCs w:val="28"/>
      <w:lang w:eastAsia="ar-SA"/>
    </w:rPr>
  </w:style>
  <w:style w:type="character" w:customStyle="1" w:styleId="Heading5Char">
    <w:name w:val="Heading 5 Char"/>
    <w:basedOn w:val="DefaultParagraphFont"/>
    <w:link w:val="Heading5"/>
    <w:rsid w:val="00EE6A7E"/>
    <w:rPr>
      <w:rFonts w:ascii="Times New Roman" w:eastAsia="Times New Roman" w:hAnsi="Times New Roman" w:cs="Times New Roman"/>
      <w:b/>
      <w:bCs/>
      <w:i/>
      <w:iCs/>
      <w:sz w:val="26"/>
      <w:szCs w:val="26"/>
      <w:lang w:val="x-none" w:eastAsia="ar-SA"/>
    </w:rPr>
  </w:style>
  <w:style w:type="character" w:customStyle="1" w:styleId="FootnoteCharacters">
    <w:name w:val="Footnote Characters"/>
    <w:rsid w:val="00EE6A7E"/>
    <w:rPr>
      <w:vertAlign w:val="superscript"/>
    </w:rPr>
  </w:style>
  <w:style w:type="character" w:styleId="Emphasis">
    <w:name w:val="Emphasis"/>
    <w:uiPriority w:val="20"/>
    <w:qFormat/>
    <w:rsid w:val="00EE6A7E"/>
    <w:rPr>
      <w:b/>
      <w:bCs/>
      <w:i w:val="0"/>
      <w:iCs w:val="0"/>
    </w:rPr>
  </w:style>
  <w:style w:type="character" w:styleId="Strong">
    <w:name w:val="Strong"/>
    <w:uiPriority w:val="22"/>
    <w:qFormat/>
    <w:rsid w:val="00EE6A7E"/>
    <w:rPr>
      <w:b/>
      <w:bCs/>
    </w:rPr>
  </w:style>
  <w:style w:type="character" w:styleId="FootnoteReference">
    <w:name w:val="footnote reference"/>
    <w:rsid w:val="00EE6A7E"/>
    <w:rPr>
      <w:vertAlign w:val="superscript"/>
    </w:rPr>
  </w:style>
  <w:style w:type="paragraph" w:styleId="FootnoteText">
    <w:name w:val="footnote text"/>
    <w:aliases w:val="Note de bas de page Car Car,Note de bas de page Car Caracter,Note de bas de page Car Caracter Caracter,Note de bas de page Car"/>
    <w:basedOn w:val="Normal"/>
    <w:link w:val="FootnoteTextChar1"/>
    <w:rsid w:val="00EE6A7E"/>
    <w:rPr>
      <w:rFonts w:cs="Times New Roman"/>
      <w:szCs w:val="20"/>
      <w:lang w:val="en-GB"/>
    </w:rPr>
  </w:style>
  <w:style w:type="character" w:customStyle="1" w:styleId="FootnoteTextChar">
    <w:name w:val="Footnote Text Char"/>
    <w:basedOn w:val="DefaultParagraphFont"/>
    <w:uiPriority w:val="99"/>
    <w:semiHidden/>
    <w:rsid w:val="00EE6A7E"/>
    <w:rPr>
      <w:rFonts w:ascii="Times New Roman" w:eastAsia="Times New Roman" w:hAnsi="Times New Roman" w:cs="Calibri"/>
      <w:sz w:val="20"/>
      <w:szCs w:val="20"/>
      <w:lang w:val="de-CH" w:eastAsia="ar-SA"/>
    </w:rPr>
  </w:style>
  <w:style w:type="character" w:customStyle="1" w:styleId="FootnoteTextChar1">
    <w:name w:val="Footnote Text Char1"/>
    <w:aliases w:val="Note de bas de page Car Car Char1,Note de bas de page Car Caracter Char1,Note de bas de page Car Caracter Caracter Char1,Note de bas de page Car Char1"/>
    <w:basedOn w:val="DefaultParagraphFont"/>
    <w:link w:val="FootnoteText"/>
    <w:rsid w:val="00EE6A7E"/>
    <w:rPr>
      <w:rFonts w:ascii="Times New Roman" w:eastAsia="Times New Roman" w:hAnsi="Times New Roman" w:cs="Times New Roman"/>
      <w:sz w:val="24"/>
      <w:szCs w:val="20"/>
      <w:lang w:val="en-GB" w:eastAsia="ar-SA"/>
    </w:rPr>
  </w:style>
  <w:style w:type="paragraph" w:styleId="BodyText2">
    <w:name w:val="Body Text 2"/>
    <w:basedOn w:val="Normal"/>
    <w:link w:val="BodyText2Char1"/>
    <w:rsid w:val="00EE6A7E"/>
    <w:pPr>
      <w:spacing w:after="120" w:line="480" w:lineRule="auto"/>
    </w:pPr>
    <w:rPr>
      <w:rFonts w:cs="Times New Roman"/>
    </w:rPr>
  </w:style>
  <w:style w:type="character" w:customStyle="1" w:styleId="BodyText2Char">
    <w:name w:val="Body Text 2 Char"/>
    <w:basedOn w:val="DefaultParagraphFont"/>
    <w:uiPriority w:val="99"/>
    <w:semiHidden/>
    <w:rsid w:val="00EE6A7E"/>
    <w:rPr>
      <w:rFonts w:ascii="Times New Roman" w:eastAsia="Times New Roman" w:hAnsi="Times New Roman" w:cs="Calibri"/>
      <w:sz w:val="24"/>
      <w:szCs w:val="24"/>
      <w:lang w:val="de-CH" w:eastAsia="ar-SA"/>
    </w:rPr>
  </w:style>
  <w:style w:type="character" w:customStyle="1" w:styleId="BodyText2Char1">
    <w:name w:val="Body Text 2 Char1"/>
    <w:basedOn w:val="DefaultParagraphFont"/>
    <w:link w:val="BodyText2"/>
    <w:rsid w:val="00EE6A7E"/>
    <w:rPr>
      <w:rFonts w:ascii="Times New Roman" w:eastAsia="Times New Roman" w:hAnsi="Times New Roman" w:cs="Times New Roman"/>
      <w:sz w:val="24"/>
      <w:szCs w:val="24"/>
      <w:lang w:val="de-CH" w:eastAsia="ar-SA"/>
    </w:rPr>
  </w:style>
  <w:style w:type="paragraph" w:styleId="BodyText3">
    <w:name w:val="Body Text 3"/>
    <w:basedOn w:val="Normal"/>
    <w:link w:val="BodyText3Char1"/>
    <w:rsid w:val="00EE6A7E"/>
    <w:pPr>
      <w:spacing w:after="120"/>
    </w:pPr>
    <w:rPr>
      <w:rFonts w:cs="Times New Roman"/>
      <w:sz w:val="16"/>
      <w:szCs w:val="16"/>
    </w:rPr>
  </w:style>
  <w:style w:type="character" w:customStyle="1" w:styleId="BodyText3Char">
    <w:name w:val="Body Text 3 Char"/>
    <w:basedOn w:val="DefaultParagraphFont"/>
    <w:uiPriority w:val="99"/>
    <w:semiHidden/>
    <w:rsid w:val="00EE6A7E"/>
    <w:rPr>
      <w:rFonts w:ascii="Times New Roman" w:eastAsia="Times New Roman" w:hAnsi="Times New Roman" w:cs="Calibri"/>
      <w:sz w:val="16"/>
      <w:szCs w:val="16"/>
      <w:lang w:val="de-CH" w:eastAsia="ar-SA"/>
    </w:rPr>
  </w:style>
  <w:style w:type="character" w:customStyle="1" w:styleId="BodyText3Char1">
    <w:name w:val="Body Text 3 Char1"/>
    <w:basedOn w:val="DefaultParagraphFont"/>
    <w:link w:val="BodyText3"/>
    <w:rsid w:val="00EE6A7E"/>
    <w:rPr>
      <w:rFonts w:ascii="Times New Roman" w:eastAsia="Times New Roman" w:hAnsi="Times New Roman" w:cs="Times New Roman"/>
      <w:sz w:val="16"/>
      <w:szCs w:val="16"/>
      <w:lang w:val="de-CH" w:eastAsia="ar-SA"/>
    </w:rPr>
  </w:style>
  <w:style w:type="paragraph" w:customStyle="1" w:styleId="Capitol">
    <w:name w:val="Capitol"/>
    <w:basedOn w:val="Normal"/>
    <w:rsid w:val="00EE6A7E"/>
    <w:pPr>
      <w:pageBreakBefore/>
      <w:spacing w:before="480" w:after="600"/>
      <w:jc w:val="center"/>
    </w:pPr>
    <w:rPr>
      <w:b/>
      <w:sz w:val="32"/>
    </w:rPr>
  </w:style>
  <w:style w:type="paragraph" w:customStyle="1" w:styleId="Text1">
    <w:name w:val="Text1"/>
    <w:basedOn w:val="Normal"/>
    <w:rsid w:val="00EE6A7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overflowPunct w:val="0"/>
      <w:autoSpaceDE w:val="0"/>
      <w:jc w:val="both"/>
    </w:pPr>
    <w:rPr>
      <w:rFonts w:cs="Times New Roman"/>
      <w:lang w:val="ro-R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6A7E"/>
    <w:pPr>
      <w:suppressAutoHyphens/>
      <w:spacing w:after="0" w:line="240" w:lineRule="auto"/>
    </w:pPr>
    <w:rPr>
      <w:rFonts w:ascii="Times New Roman" w:eastAsia="Times New Roman" w:hAnsi="Times New Roman" w:cs="Calibri"/>
      <w:sz w:val="24"/>
      <w:szCs w:val="24"/>
      <w:lang w:val="de-CH" w:eastAsia="ar-SA"/>
    </w:rPr>
  </w:style>
  <w:style w:type="paragraph" w:styleId="Heading1">
    <w:name w:val="heading 1"/>
    <w:basedOn w:val="Normal"/>
    <w:next w:val="Normal"/>
    <w:link w:val="Heading1Char"/>
    <w:qFormat/>
    <w:rsid w:val="00EE6A7E"/>
    <w:pPr>
      <w:keepNext/>
      <w:numPr>
        <w:numId w:val="1"/>
      </w:numPr>
      <w:jc w:val="center"/>
      <w:outlineLvl w:val="0"/>
    </w:pPr>
    <w:rPr>
      <w:rFonts w:cs="Times New Roman"/>
      <w:b/>
      <w:bCs/>
      <w:lang w:val="fr-FR"/>
    </w:rPr>
  </w:style>
  <w:style w:type="paragraph" w:styleId="Heading2">
    <w:name w:val="heading 2"/>
    <w:basedOn w:val="Normal"/>
    <w:next w:val="Normal"/>
    <w:link w:val="Heading2Char"/>
    <w:uiPriority w:val="9"/>
    <w:qFormat/>
    <w:rsid w:val="00EE6A7E"/>
    <w:pPr>
      <w:keepNext/>
      <w:numPr>
        <w:ilvl w:val="1"/>
        <w:numId w:val="1"/>
      </w:numPr>
      <w:shd w:val="clear" w:color="auto" w:fill="FFFFFF"/>
      <w:tabs>
        <w:tab w:val="left" w:pos="274"/>
      </w:tabs>
      <w:spacing w:line="322" w:lineRule="exact"/>
      <w:jc w:val="center"/>
      <w:outlineLvl w:val="1"/>
    </w:pPr>
    <w:rPr>
      <w:rFonts w:cs="Times New Roman"/>
      <w:b/>
      <w:bCs/>
      <w:spacing w:val="-11"/>
      <w:szCs w:val="28"/>
      <w:lang w:val="ro-RO"/>
    </w:rPr>
  </w:style>
  <w:style w:type="paragraph" w:styleId="Heading3">
    <w:name w:val="heading 3"/>
    <w:basedOn w:val="Normal"/>
    <w:next w:val="Normal"/>
    <w:link w:val="Heading3Char"/>
    <w:qFormat/>
    <w:rsid w:val="00EE6A7E"/>
    <w:pPr>
      <w:keepNext/>
      <w:numPr>
        <w:ilvl w:val="2"/>
        <w:numId w:val="1"/>
      </w:numPr>
      <w:outlineLvl w:val="2"/>
    </w:pPr>
    <w:rPr>
      <w:rFonts w:cs="Times New Roman"/>
      <w:b/>
      <w:bCs/>
      <w:lang w:val="it-IT"/>
    </w:rPr>
  </w:style>
  <w:style w:type="paragraph" w:styleId="Heading4">
    <w:name w:val="heading 4"/>
    <w:basedOn w:val="Normal"/>
    <w:next w:val="Normal"/>
    <w:link w:val="Heading4Char"/>
    <w:qFormat/>
    <w:rsid w:val="00EE6A7E"/>
    <w:pPr>
      <w:keepNext/>
      <w:numPr>
        <w:ilvl w:val="3"/>
        <w:numId w:val="1"/>
      </w:numPr>
      <w:spacing w:before="240" w:after="60"/>
      <w:outlineLvl w:val="3"/>
    </w:pPr>
    <w:rPr>
      <w:rFonts w:cs="Times New Roman"/>
      <w:b/>
      <w:bCs/>
      <w:sz w:val="28"/>
      <w:szCs w:val="28"/>
      <w:lang w:val="ro-RO"/>
    </w:rPr>
  </w:style>
  <w:style w:type="paragraph" w:styleId="Heading5">
    <w:name w:val="heading 5"/>
    <w:basedOn w:val="Normal"/>
    <w:next w:val="Normal"/>
    <w:link w:val="Heading5Char"/>
    <w:qFormat/>
    <w:rsid w:val="00EE6A7E"/>
    <w:pPr>
      <w:numPr>
        <w:ilvl w:val="4"/>
        <w:numId w:val="1"/>
      </w:numPr>
      <w:spacing w:before="240" w:after="60"/>
      <w:outlineLvl w:val="4"/>
    </w:pPr>
    <w:rPr>
      <w:rFonts w:cs="Times New Roman"/>
      <w:b/>
      <w:bCs/>
      <w:i/>
      <w:iCs/>
      <w:sz w:val="26"/>
      <w:szCs w:val="26"/>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E6A7E"/>
    <w:rPr>
      <w:rFonts w:ascii="Times New Roman" w:eastAsia="Times New Roman" w:hAnsi="Times New Roman" w:cs="Times New Roman"/>
      <w:b/>
      <w:bCs/>
      <w:sz w:val="24"/>
      <w:szCs w:val="24"/>
      <w:lang w:val="fr-FR" w:eastAsia="ar-SA"/>
    </w:rPr>
  </w:style>
  <w:style w:type="character" w:customStyle="1" w:styleId="Heading2Char">
    <w:name w:val="Heading 2 Char"/>
    <w:basedOn w:val="DefaultParagraphFont"/>
    <w:link w:val="Heading2"/>
    <w:uiPriority w:val="9"/>
    <w:rsid w:val="00EE6A7E"/>
    <w:rPr>
      <w:rFonts w:ascii="Times New Roman" w:eastAsia="Times New Roman" w:hAnsi="Times New Roman" w:cs="Times New Roman"/>
      <w:b/>
      <w:bCs/>
      <w:spacing w:val="-11"/>
      <w:sz w:val="24"/>
      <w:szCs w:val="28"/>
      <w:shd w:val="clear" w:color="auto" w:fill="FFFFFF"/>
      <w:lang w:eastAsia="ar-SA"/>
    </w:rPr>
  </w:style>
  <w:style w:type="character" w:customStyle="1" w:styleId="Heading3Char">
    <w:name w:val="Heading 3 Char"/>
    <w:basedOn w:val="DefaultParagraphFont"/>
    <w:link w:val="Heading3"/>
    <w:rsid w:val="00EE6A7E"/>
    <w:rPr>
      <w:rFonts w:ascii="Times New Roman" w:eastAsia="Times New Roman" w:hAnsi="Times New Roman" w:cs="Times New Roman"/>
      <w:b/>
      <w:bCs/>
      <w:sz w:val="24"/>
      <w:szCs w:val="24"/>
      <w:lang w:val="it-IT" w:eastAsia="ar-SA"/>
    </w:rPr>
  </w:style>
  <w:style w:type="character" w:customStyle="1" w:styleId="Heading4Char">
    <w:name w:val="Heading 4 Char"/>
    <w:basedOn w:val="DefaultParagraphFont"/>
    <w:link w:val="Heading4"/>
    <w:rsid w:val="00EE6A7E"/>
    <w:rPr>
      <w:rFonts w:ascii="Times New Roman" w:eastAsia="Times New Roman" w:hAnsi="Times New Roman" w:cs="Times New Roman"/>
      <w:b/>
      <w:bCs/>
      <w:sz w:val="28"/>
      <w:szCs w:val="28"/>
      <w:lang w:eastAsia="ar-SA"/>
    </w:rPr>
  </w:style>
  <w:style w:type="character" w:customStyle="1" w:styleId="Heading5Char">
    <w:name w:val="Heading 5 Char"/>
    <w:basedOn w:val="DefaultParagraphFont"/>
    <w:link w:val="Heading5"/>
    <w:rsid w:val="00EE6A7E"/>
    <w:rPr>
      <w:rFonts w:ascii="Times New Roman" w:eastAsia="Times New Roman" w:hAnsi="Times New Roman" w:cs="Times New Roman"/>
      <w:b/>
      <w:bCs/>
      <w:i/>
      <w:iCs/>
      <w:sz w:val="26"/>
      <w:szCs w:val="26"/>
      <w:lang w:val="x-none" w:eastAsia="ar-SA"/>
    </w:rPr>
  </w:style>
  <w:style w:type="character" w:customStyle="1" w:styleId="FootnoteCharacters">
    <w:name w:val="Footnote Characters"/>
    <w:rsid w:val="00EE6A7E"/>
    <w:rPr>
      <w:vertAlign w:val="superscript"/>
    </w:rPr>
  </w:style>
  <w:style w:type="character" w:styleId="Emphasis">
    <w:name w:val="Emphasis"/>
    <w:uiPriority w:val="20"/>
    <w:qFormat/>
    <w:rsid w:val="00EE6A7E"/>
    <w:rPr>
      <w:b/>
      <w:bCs/>
      <w:i w:val="0"/>
      <w:iCs w:val="0"/>
    </w:rPr>
  </w:style>
  <w:style w:type="character" w:styleId="Strong">
    <w:name w:val="Strong"/>
    <w:uiPriority w:val="22"/>
    <w:qFormat/>
    <w:rsid w:val="00EE6A7E"/>
    <w:rPr>
      <w:b/>
      <w:bCs/>
    </w:rPr>
  </w:style>
  <w:style w:type="character" w:styleId="FootnoteReference">
    <w:name w:val="footnote reference"/>
    <w:rsid w:val="00EE6A7E"/>
    <w:rPr>
      <w:vertAlign w:val="superscript"/>
    </w:rPr>
  </w:style>
  <w:style w:type="paragraph" w:styleId="FootnoteText">
    <w:name w:val="footnote text"/>
    <w:aliases w:val="Note de bas de page Car Car,Note de bas de page Car Caracter,Note de bas de page Car Caracter Caracter,Note de bas de page Car"/>
    <w:basedOn w:val="Normal"/>
    <w:link w:val="FootnoteTextChar1"/>
    <w:rsid w:val="00EE6A7E"/>
    <w:rPr>
      <w:rFonts w:cs="Times New Roman"/>
      <w:szCs w:val="20"/>
      <w:lang w:val="en-GB"/>
    </w:rPr>
  </w:style>
  <w:style w:type="character" w:customStyle="1" w:styleId="FootnoteTextChar">
    <w:name w:val="Footnote Text Char"/>
    <w:basedOn w:val="DefaultParagraphFont"/>
    <w:uiPriority w:val="99"/>
    <w:semiHidden/>
    <w:rsid w:val="00EE6A7E"/>
    <w:rPr>
      <w:rFonts w:ascii="Times New Roman" w:eastAsia="Times New Roman" w:hAnsi="Times New Roman" w:cs="Calibri"/>
      <w:sz w:val="20"/>
      <w:szCs w:val="20"/>
      <w:lang w:val="de-CH" w:eastAsia="ar-SA"/>
    </w:rPr>
  </w:style>
  <w:style w:type="character" w:customStyle="1" w:styleId="FootnoteTextChar1">
    <w:name w:val="Footnote Text Char1"/>
    <w:aliases w:val="Note de bas de page Car Car Char1,Note de bas de page Car Caracter Char1,Note de bas de page Car Caracter Caracter Char1,Note de bas de page Car Char1"/>
    <w:basedOn w:val="DefaultParagraphFont"/>
    <w:link w:val="FootnoteText"/>
    <w:rsid w:val="00EE6A7E"/>
    <w:rPr>
      <w:rFonts w:ascii="Times New Roman" w:eastAsia="Times New Roman" w:hAnsi="Times New Roman" w:cs="Times New Roman"/>
      <w:sz w:val="24"/>
      <w:szCs w:val="20"/>
      <w:lang w:val="en-GB" w:eastAsia="ar-SA"/>
    </w:rPr>
  </w:style>
  <w:style w:type="paragraph" w:styleId="BodyText2">
    <w:name w:val="Body Text 2"/>
    <w:basedOn w:val="Normal"/>
    <w:link w:val="BodyText2Char1"/>
    <w:rsid w:val="00EE6A7E"/>
    <w:pPr>
      <w:spacing w:after="120" w:line="480" w:lineRule="auto"/>
    </w:pPr>
    <w:rPr>
      <w:rFonts w:cs="Times New Roman"/>
    </w:rPr>
  </w:style>
  <w:style w:type="character" w:customStyle="1" w:styleId="BodyText2Char">
    <w:name w:val="Body Text 2 Char"/>
    <w:basedOn w:val="DefaultParagraphFont"/>
    <w:uiPriority w:val="99"/>
    <w:semiHidden/>
    <w:rsid w:val="00EE6A7E"/>
    <w:rPr>
      <w:rFonts w:ascii="Times New Roman" w:eastAsia="Times New Roman" w:hAnsi="Times New Roman" w:cs="Calibri"/>
      <w:sz w:val="24"/>
      <w:szCs w:val="24"/>
      <w:lang w:val="de-CH" w:eastAsia="ar-SA"/>
    </w:rPr>
  </w:style>
  <w:style w:type="character" w:customStyle="1" w:styleId="BodyText2Char1">
    <w:name w:val="Body Text 2 Char1"/>
    <w:basedOn w:val="DefaultParagraphFont"/>
    <w:link w:val="BodyText2"/>
    <w:rsid w:val="00EE6A7E"/>
    <w:rPr>
      <w:rFonts w:ascii="Times New Roman" w:eastAsia="Times New Roman" w:hAnsi="Times New Roman" w:cs="Times New Roman"/>
      <w:sz w:val="24"/>
      <w:szCs w:val="24"/>
      <w:lang w:val="de-CH" w:eastAsia="ar-SA"/>
    </w:rPr>
  </w:style>
  <w:style w:type="paragraph" w:styleId="BodyText3">
    <w:name w:val="Body Text 3"/>
    <w:basedOn w:val="Normal"/>
    <w:link w:val="BodyText3Char1"/>
    <w:rsid w:val="00EE6A7E"/>
    <w:pPr>
      <w:spacing w:after="120"/>
    </w:pPr>
    <w:rPr>
      <w:rFonts w:cs="Times New Roman"/>
      <w:sz w:val="16"/>
      <w:szCs w:val="16"/>
    </w:rPr>
  </w:style>
  <w:style w:type="character" w:customStyle="1" w:styleId="BodyText3Char">
    <w:name w:val="Body Text 3 Char"/>
    <w:basedOn w:val="DefaultParagraphFont"/>
    <w:uiPriority w:val="99"/>
    <w:semiHidden/>
    <w:rsid w:val="00EE6A7E"/>
    <w:rPr>
      <w:rFonts w:ascii="Times New Roman" w:eastAsia="Times New Roman" w:hAnsi="Times New Roman" w:cs="Calibri"/>
      <w:sz w:val="16"/>
      <w:szCs w:val="16"/>
      <w:lang w:val="de-CH" w:eastAsia="ar-SA"/>
    </w:rPr>
  </w:style>
  <w:style w:type="character" w:customStyle="1" w:styleId="BodyText3Char1">
    <w:name w:val="Body Text 3 Char1"/>
    <w:basedOn w:val="DefaultParagraphFont"/>
    <w:link w:val="BodyText3"/>
    <w:rsid w:val="00EE6A7E"/>
    <w:rPr>
      <w:rFonts w:ascii="Times New Roman" w:eastAsia="Times New Roman" w:hAnsi="Times New Roman" w:cs="Times New Roman"/>
      <w:sz w:val="16"/>
      <w:szCs w:val="16"/>
      <w:lang w:val="de-CH" w:eastAsia="ar-SA"/>
    </w:rPr>
  </w:style>
  <w:style w:type="paragraph" w:customStyle="1" w:styleId="Capitol">
    <w:name w:val="Capitol"/>
    <w:basedOn w:val="Normal"/>
    <w:rsid w:val="00EE6A7E"/>
    <w:pPr>
      <w:pageBreakBefore/>
      <w:spacing w:before="480" w:after="600"/>
      <w:jc w:val="center"/>
    </w:pPr>
    <w:rPr>
      <w:b/>
      <w:sz w:val="32"/>
    </w:rPr>
  </w:style>
  <w:style w:type="paragraph" w:customStyle="1" w:styleId="Text1">
    <w:name w:val="Text1"/>
    <w:basedOn w:val="Normal"/>
    <w:rsid w:val="00EE6A7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overflowPunct w:val="0"/>
      <w:autoSpaceDE w:val="0"/>
      <w:jc w:val="both"/>
    </w:pPr>
    <w:rPr>
      <w:rFonts w:cs="Times New Roman"/>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11199</Words>
  <Characters>64958</Characters>
  <Application>Microsoft Office Word</Application>
  <DocSecurity>0</DocSecurity>
  <Lines>541</Lines>
  <Paragraphs>152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2018-10-30T03:07:00Z</dcterms:created>
  <dcterms:modified xsi:type="dcterms:W3CDTF">2018-10-30T03:08:00Z</dcterms:modified>
</cp:coreProperties>
</file>