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0C5" w:rsidRPr="00EA3B4B" w:rsidRDefault="004D40C5" w:rsidP="004D40C5">
      <w:pPr>
        <w:pStyle w:val="Heading3"/>
        <w:numPr>
          <w:ilvl w:val="0"/>
          <w:numId w:val="0"/>
        </w:numPr>
        <w:ind w:left="-567" w:right="-709"/>
        <w:jc w:val="center"/>
      </w:pPr>
      <w:r w:rsidRPr="00EA3B4B">
        <w:t>„Dumnezeu ne-a făcut pentru a-L cunoaşte”</w:t>
      </w:r>
      <w:r w:rsidRPr="00EA3B4B">
        <w:rPr>
          <w:rStyle w:val="FootnoteReference"/>
        </w:rPr>
        <w:footnoteReference w:id="1"/>
      </w:r>
      <w:r w:rsidRPr="00EA3B4B">
        <w:rPr>
          <w:rStyle w:val="FootnoteCharacters"/>
          <w:b w:val="0"/>
        </w:rPr>
        <w:t xml:space="preserve"> </w:t>
      </w:r>
      <w:r w:rsidRPr="00EA3B4B">
        <w:t>- scurtă introducere la theognosia în gândirea Părintelui profesor Dumitru Stăniloae</w:t>
      </w:r>
    </w:p>
    <w:p w:rsidR="004D40C5" w:rsidRPr="00EA3B4B" w:rsidRDefault="004D40C5" w:rsidP="004D40C5">
      <w:pPr>
        <w:pStyle w:val="Text1"/>
        <w:ind w:left="-567" w:right="-709"/>
      </w:pPr>
    </w:p>
    <w:p w:rsidR="004D40C5" w:rsidRPr="00EA3B4B" w:rsidRDefault="004D40C5" w:rsidP="004D40C5">
      <w:pPr>
        <w:pStyle w:val="Text1"/>
        <w:ind w:left="-567" w:right="-709"/>
      </w:pPr>
      <w:r w:rsidRPr="00EA3B4B">
        <w:t>Părintele profesor Dumitru Stăniloae, considerat a fi „</w:t>
      </w:r>
      <w:r w:rsidRPr="00EA3B4B">
        <w:rPr>
          <w:i/>
          <w:iCs/>
        </w:rPr>
        <w:t>cel mai mare teolog actual</w:t>
      </w:r>
      <w:r w:rsidRPr="00EA3B4B">
        <w:t>”</w:t>
      </w:r>
      <w:r w:rsidRPr="00EA3B4B">
        <w:rPr>
          <w:rStyle w:val="FootnoteReference"/>
        </w:rPr>
        <w:footnoteReference w:id="2"/>
      </w:r>
      <w:r w:rsidRPr="00EA3B4B">
        <w:t xml:space="preserve"> sau ca cel mai creativ şi influent </w:t>
      </w:r>
      <w:r w:rsidRPr="00EA3B4B">
        <w:rPr>
          <w:i/>
        </w:rPr>
        <w:t>„</w:t>
      </w:r>
      <w:r w:rsidRPr="00EA3B4B">
        <w:rPr>
          <w:i/>
          <w:iCs/>
        </w:rPr>
        <w:t>teolog pan-ortodox</w:t>
      </w:r>
      <w:r w:rsidRPr="00EA3B4B">
        <w:t>”</w:t>
      </w:r>
      <w:r w:rsidRPr="00EA3B4B">
        <w:rPr>
          <w:rStyle w:val="FootnoteReference"/>
        </w:rPr>
        <w:footnoteReference w:id="3"/>
      </w:r>
      <w:r w:rsidRPr="00EA3B4B">
        <w:t>, este elogiat şi ca „</w:t>
      </w:r>
      <w:r w:rsidRPr="00EA3B4B">
        <w:rPr>
          <w:i/>
          <w:iCs/>
        </w:rPr>
        <w:t>un mare filosof”</w:t>
      </w:r>
      <w:r w:rsidRPr="00EA3B4B">
        <w:rPr>
          <w:rStyle w:val="FootnoteReference"/>
          <w:i/>
          <w:iCs/>
        </w:rPr>
        <w:footnoteReference w:id="4"/>
      </w:r>
      <w:r w:rsidRPr="00EA3B4B">
        <w:t xml:space="preserve"> sau „</w:t>
      </w:r>
      <w:r w:rsidRPr="00EA3B4B">
        <w:rPr>
          <w:i/>
          <w:iCs/>
        </w:rPr>
        <w:t>un filosof pan-ortodox</w:t>
      </w:r>
      <w:r w:rsidRPr="00EA3B4B">
        <w:t>”</w:t>
      </w:r>
      <w:r w:rsidRPr="00EA3B4B">
        <w:rPr>
          <w:rStyle w:val="FootnoteReference"/>
        </w:rPr>
        <w:footnoteReference w:id="5"/>
      </w:r>
      <w:r w:rsidRPr="00EA3B4B">
        <w:t>, fiind creatorul unei opere originale, fundamentate pe tradiţia apostolică şi caracterizată a fi o „</w:t>
      </w:r>
      <w:r w:rsidRPr="00EA3B4B">
        <w:rPr>
          <w:i/>
          <w:iCs/>
        </w:rPr>
        <w:t>sinteză neo-patristică</w:t>
      </w:r>
      <w:r w:rsidRPr="00EA3B4B">
        <w:t>”</w:t>
      </w:r>
      <w:r w:rsidRPr="00EA3B4B">
        <w:rPr>
          <w:rStyle w:val="FootnoteReference"/>
        </w:rPr>
        <w:footnoteReference w:id="6"/>
      </w:r>
      <w:r w:rsidRPr="00EA3B4B">
        <w:rPr>
          <w:i/>
          <w:iCs/>
        </w:rPr>
        <w:t>.</w:t>
      </w:r>
      <w:r w:rsidRPr="00EA3B4B">
        <w:t xml:space="preserve"> Teologul român a ajuns să </w:t>
      </w:r>
      <w:r w:rsidRPr="00EA3B4B">
        <w:rPr>
          <w:i/>
        </w:rPr>
        <w:t>re</w:t>
      </w:r>
      <w:r w:rsidRPr="00EA3B4B">
        <w:t>-</w:t>
      </w:r>
      <w:r w:rsidRPr="00EA3B4B">
        <w:rPr>
          <w:i/>
        </w:rPr>
        <w:t>gândească</w:t>
      </w:r>
      <w:r w:rsidRPr="00EA3B4B">
        <w:t xml:space="preserve"> gândurile Părinţilor din opera cărora a tradus, fapt uşor de constatat, dacă se analizează notele sale explicative, în mod deosebit cele la opera Sfântului Maxim Mărturisitorul. Nu repetă, ci </w:t>
      </w:r>
      <w:r w:rsidRPr="00EA3B4B">
        <w:rPr>
          <w:i/>
        </w:rPr>
        <w:t>re-gândeşte</w:t>
      </w:r>
      <w:r w:rsidRPr="00EA3B4B">
        <w:t>, folosind un limbaj care ne face transparentă vasta sa cultură, iar Sfinţii Părinţi devin astfel contemporanii noştri.</w:t>
      </w:r>
    </w:p>
    <w:p w:rsidR="004D40C5" w:rsidRPr="00EA3B4B" w:rsidRDefault="004D40C5" w:rsidP="004D40C5">
      <w:pPr>
        <w:ind w:left="-567" w:right="-709" w:firstLine="851"/>
        <w:jc w:val="both"/>
        <w:rPr>
          <w:rFonts w:cs="Times New Roman"/>
          <w:lang w:val="ro-RO"/>
        </w:rPr>
      </w:pPr>
      <w:r w:rsidRPr="00EA3B4B">
        <w:rPr>
          <w:rFonts w:cs="Times New Roman"/>
          <w:b/>
          <w:lang w:val="ro-RO"/>
        </w:rPr>
        <w:t>Teologia Dogmatică Ortodoxă</w:t>
      </w:r>
      <w:r w:rsidRPr="00EA3B4B">
        <w:rPr>
          <w:rFonts w:cs="Times New Roman"/>
          <w:lang w:val="ro-RO"/>
        </w:rPr>
        <w:t xml:space="preserve"> este rezultatul acestui efort de </w:t>
      </w:r>
      <w:r w:rsidRPr="00EA3B4B">
        <w:rPr>
          <w:rFonts w:cs="Times New Roman"/>
          <w:i/>
          <w:lang w:val="ro-RO"/>
        </w:rPr>
        <w:t>re-gândire</w:t>
      </w:r>
      <w:r w:rsidRPr="00EA3B4B">
        <w:rPr>
          <w:rFonts w:cs="Times New Roman"/>
          <w:lang w:val="ro-RO"/>
        </w:rPr>
        <w:t xml:space="preserve">, nu unul autonom, ci potenţat prin har: „În notele noastre n-am putut reda decât o prea săracă părticică din bogăţia indefinită a conţinutului lui, atâta câtă ni s-a revelat în timpul în care le-am scris”. Aşa îşi încheia introducerea la </w:t>
      </w:r>
      <w:r w:rsidRPr="00EA3B4B">
        <w:rPr>
          <w:rFonts w:cs="Times New Roman"/>
          <w:b/>
          <w:lang w:val="ro-RO"/>
        </w:rPr>
        <w:t>Ambigua</w:t>
      </w:r>
      <w:r w:rsidRPr="00EA3B4B">
        <w:rPr>
          <w:rStyle w:val="FootnoteReference"/>
          <w:rFonts w:cs="Times New Roman"/>
          <w:b/>
          <w:lang w:val="ro-RO"/>
        </w:rPr>
        <w:footnoteReference w:id="7"/>
      </w:r>
      <w:r w:rsidRPr="00EA3B4B">
        <w:rPr>
          <w:rFonts w:cs="Times New Roman"/>
          <w:lang w:val="ro-RO"/>
        </w:rPr>
        <w:t xml:space="preserve"> Sfântului Maxim Mărturisitorul. Trebuie spus răspicat că nu este vorba aici de vreo infatuare a teologului conştient de harisma sa, ci dimpotrivă, o dovadă a smereniei care l-a caracterizat. Este ca şi cum ar spune că n-ar fi putut scrie nimic fără ajutorul lui Dumnezeu, Cel care a căutat spre nevrednicia sa. Că este aşa, am putea argumenta, evocând tragedia de a fi trăit timp de cinci ani un regim de exterminare, perioadă în care a primit darul rugăciunii neîncetate, despre care nu scrie nimic, ci, doar, în mod confidenţial, îi spunea, „surâzând” lui Olivier Clement, caracterizând anii respectivi: „O experienţă ca atâtea altele, puţin mai dificilă pentru familia mea „Şi apoi adăuga că aceasta a fost singura perioadă din viaţa sa în care a putut practica, „ţine”, într-un mod aproape permanent, invocarea Numelui lui Iisus</w:t>
      </w:r>
      <w:r w:rsidRPr="00EA3B4B">
        <w:rPr>
          <w:rStyle w:val="FootnoteReference"/>
          <w:rFonts w:cs="Times New Roman"/>
          <w:lang w:val="ro-RO"/>
        </w:rPr>
        <w:footnoteReference w:id="8"/>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Părintele Stăniloae accentuează adesea importanţa accederii omului la cunoaşterea lui Dumnezeu, deoarece El</w:t>
      </w:r>
      <w:r w:rsidRPr="00EA3B4B">
        <w:rPr>
          <w:rFonts w:cs="Times New Roman"/>
          <w:b/>
          <w:i/>
          <w:lang w:val="ro-RO"/>
        </w:rPr>
        <w:t xml:space="preserve"> </w:t>
      </w:r>
      <w:r w:rsidRPr="00EA3B4B">
        <w:rPr>
          <w:rFonts w:cs="Times New Roman"/>
          <w:lang w:val="ro-RO"/>
        </w:rPr>
        <w:t>ne-a făcut pentru a-L cunoaşte: „Dumnezeu este Raţiune şi Cuvânt ce ni Se face cunoscut şi ne-a făcut pentru a-L cunoaşte, dar e, în acelaşi timp, mai presus de cunoaştere, şi ne-a făcut şi pe noi cu ambele aceste însuşiri”</w:t>
      </w:r>
      <w:r w:rsidRPr="00EA3B4B">
        <w:rPr>
          <w:rStyle w:val="FootnoteReference"/>
          <w:rFonts w:cs="Times New Roman"/>
          <w:lang w:val="ro-RO"/>
        </w:rPr>
        <w:footnoteReference w:id="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În nicio cunoaştere autentică nu începem cu epistemologia şi apoi, pe baza teoriei argumentată independent, continuăm să dezvoltăm cunoaşterea efectivă. Cu atât mai puţin putem pune întrebarea abstractă: „Cum Îl putem cunoaşte pe Dumnezeu?”, şi apoi, în lumina răspunsurilor la care ajungem, să continuăm să examinăm şi să explicăm ceea ce cunoaştem. Numai pe baza unei cunoaşteri a lui Dumnezeu deja existente, putem să dezvoltăm o epistemologie, deoarece forma nu poate fi despărţită de conţinut sau metoda de subiectul acelei cunoaşteri. Dumnezeu este Cel care face posibilă cunoaşterea Sa de către noi, dăruindu-ni-Se ca „obiect” de cunoscut şi aducându-ne într-o relaţie cu El în care suntem făcuţi capabili să-L cunoaştem. Dar înlăuntrul acestei relaţii, Dumnezeu este Cel care ne oferă modul de a-L cunoaşte. Astfel, chiar dacă cunoaşterea lui Dumnezeu se fundamentează pe propria Sa fiinţă şi lucrare, ia formă în fiinţa şi lucrarea noastră ca o cunoaştere umană a lui Dumnezeu</w:t>
      </w:r>
      <w:r w:rsidRPr="00EA3B4B">
        <w:rPr>
          <w:rStyle w:val="FootnoteReference"/>
          <w:rFonts w:cs="Times New Roman"/>
          <w:lang w:val="ro-RO"/>
        </w:rPr>
        <w:footnoteReference w:id="10"/>
      </w:r>
      <w:r w:rsidRPr="00EA3B4B">
        <w:rPr>
          <w:rFonts w:cs="Times New Roman"/>
          <w:lang w:val="ro-RO"/>
        </w:rPr>
        <w:t>.</w:t>
      </w:r>
    </w:p>
    <w:p w:rsidR="004D40C5" w:rsidRPr="00EA3B4B" w:rsidRDefault="004D40C5" w:rsidP="004D40C5">
      <w:pPr>
        <w:ind w:left="-567" w:right="-709" w:firstLine="851"/>
        <w:jc w:val="both"/>
        <w:rPr>
          <w:rFonts w:cs="Times New Roman"/>
          <w:vertAlign w:val="superscript"/>
          <w:lang w:val="ro-RO"/>
        </w:rPr>
      </w:pPr>
      <w:r w:rsidRPr="00EA3B4B">
        <w:rPr>
          <w:rFonts w:cs="Times New Roman"/>
          <w:lang w:val="ro-RO"/>
        </w:rPr>
        <w:t xml:space="preserve">Dificultatea exprimării modului în care poate fi cunoscut Dumnezeu este pregnant reliefată de Părintele Stăniloae: „Orice înţeles referitor la Dumnezeu trebuie să aibă o fragilitate, o transparenţă, o lipsă </w:t>
      </w:r>
      <w:r w:rsidRPr="00EA3B4B">
        <w:rPr>
          <w:rFonts w:cs="Times New Roman"/>
          <w:lang w:val="ro-RO"/>
        </w:rPr>
        <w:lastRenderedPageBreak/>
        <w:t>de fixitate, trebuie să ne îndemne la revocarea lui şi la stimularea spre un altul, dar pe linia lui. Dacă înţelesul rămâne fix în mintea noastră, mărginim pe Dumnezeu în frontierele lui, sau chiar uităm de Dumnezeu, toată atenţia noastră concentrându-se asupra înţelesului respectiv sau asupra cuvântului care-L exprimă. În acest caz «înţelesul» devine un «idol», adică un fals dumnezeu. Înţelesul sau cuvântul trebuie să facă mereu transparent pe Dumnezeu, ca neîncăput în el, ca depăşind orice înţeles, ca punându-Se în evidenţă când cu un aspect, când cu altul al infinitei Lui bogăţii”</w:t>
      </w:r>
      <w:r w:rsidRPr="00EA3B4B">
        <w:rPr>
          <w:rStyle w:val="FootnoteReference"/>
          <w:rFonts w:cs="Times New Roman"/>
          <w:lang w:val="ro-RO"/>
        </w:rPr>
        <w:footnoteReference w:id="11"/>
      </w:r>
      <w:r w:rsidRPr="00EA3B4B">
        <w:rPr>
          <w:rFonts w:cs="Times New Roman"/>
          <w:lang w:val="ro-RO"/>
        </w:rPr>
        <w:t>.</w:t>
      </w:r>
    </w:p>
    <w:p w:rsidR="004D40C5" w:rsidRPr="00EA3B4B" w:rsidRDefault="004D40C5" w:rsidP="004D40C5">
      <w:pPr>
        <w:ind w:left="-567" w:right="-709" w:firstLine="851"/>
        <w:jc w:val="both"/>
        <w:rPr>
          <w:rStyle w:val="FootnoteCharacters"/>
          <w:rFonts w:cs="Times New Roman"/>
          <w:lang w:val="ro-RO"/>
        </w:rPr>
      </w:pPr>
      <w:r w:rsidRPr="00EA3B4B">
        <w:rPr>
          <w:rFonts w:cs="Times New Roman"/>
          <w:lang w:val="ro-RO"/>
        </w:rPr>
        <w:t xml:space="preserve">Probabil din această cauză, în primele secole ale Bisericii nu a existat o </w:t>
      </w:r>
      <w:r w:rsidRPr="00EA3B4B">
        <w:rPr>
          <w:rFonts w:cs="Times New Roman"/>
          <w:i/>
          <w:lang w:val="ro-RO"/>
        </w:rPr>
        <w:t>teologie</w:t>
      </w:r>
      <w:r w:rsidRPr="00EA3B4B">
        <w:rPr>
          <w:rFonts w:cs="Times New Roman"/>
          <w:lang w:val="ro-RO"/>
        </w:rPr>
        <w:t xml:space="preserve"> ca disciplină metodică sau ca </w:t>
      </w:r>
      <w:r w:rsidRPr="00EA3B4B">
        <w:rPr>
          <w:rFonts w:cs="Times New Roman"/>
          <w:i/>
          <w:lang w:val="ro-RO"/>
        </w:rPr>
        <w:t>scientia</w:t>
      </w:r>
      <w:r w:rsidRPr="00EA3B4B">
        <w:rPr>
          <w:rFonts w:cs="Times New Roman"/>
          <w:lang w:val="ro-RO"/>
        </w:rPr>
        <w:t xml:space="preserve"> şi, prin urmare, teologii acestei perioade nu au urmat o metodă dată pentru a ajunge la cunoaşterea lui Dumnezeu</w:t>
      </w:r>
      <w:r w:rsidRPr="00EA3B4B">
        <w:rPr>
          <w:rStyle w:val="FootnoteReference"/>
          <w:rFonts w:cs="Times New Roman"/>
          <w:lang w:val="ro-RO"/>
        </w:rPr>
        <w:footnoteReference w:id="12"/>
      </w:r>
      <w:r w:rsidRPr="00EA3B4B">
        <w:rPr>
          <w:rFonts w:cs="Times New Roman"/>
          <w:lang w:val="ro-RO"/>
        </w:rPr>
        <w:t xml:space="preserve">. Chiar dacă iniţial s-a folosit termenul grecesc </w:t>
      </w:r>
      <w:r w:rsidRPr="00EA3B4B">
        <w:rPr>
          <w:rFonts w:cs="Times New Roman"/>
          <w:i/>
          <w:lang w:val="ro-RO"/>
        </w:rPr>
        <w:t>gnosis</w:t>
      </w:r>
      <w:r w:rsidRPr="00EA3B4B">
        <w:rPr>
          <w:rStyle w:val="FootnoteReference"/>
          <w:rFonts w:cs="Times New Roman"/>
          <w:i/>
          <w:lang w:val="ro-RO"/>
        </w:rPr>
        <w:footnoteReference w:id="13"/>
      </w:r>
      <w:r w:rsidRPr="00EA3B4B">
        <w:rPr>
          <w:rFonts w:cs="Times New Roman"/>
          <w:lang w:val="ro-RO"/>
        </w:rPr>
        <w:t xml:space="preserve">, din cauza posibilelor asocieri cu gnosticismul, scriitorii creştini din timpul lui Origen au adoptat termenul </w:t>
      </w:r>
      <w:r w:rsidRPr="00EA3B4B">
        <w:rPr>
          <w:rFonts w:cs="Times New Roman"/>
          <w:i/>
          <w:lang w:val="ro-RO"/>
        </w:rPr>
        <w:t>theologia</w:t>
      </w:r>
      <w:r w:rsidRPr="00EA3B4B">
        <w:rPr>
          <w:rFonts w:cs="Times New Roman"/>
          <w:lang w:val="ro-RO"/>
        </w:rPr>
        <w:t xml:space="preserve">, nu în sensul modern, academic, ci având o conotaţie mistică, desemnând meditaţia şi contemplaţia în cadrul unei comunităţi eclesiale. La Sfinţii Părinţi- scrie Paul Evdokimov- termenul „teologie” înseamnă contemplaţia Tainei Sfintei Treimi - </w:t>
      </w:r>
      <w:r w:rsidRPr="00EA3B4B">
        <w:rPr>
          <w:rFonts w:cs="Times New Roman"/>
          <w:i/>
          <w:lang w:val="ro-RO"/>
        </w:rPr>
        <w:t>theoria tes agias Triados-</w:t>
      </w:r>
      <w:r w:rsidRPr="00EA3B4B">
        <w:rPr>
          <w:rFonts w:cs="Times New Roman"/>
          <w:lang w:val="ro-RO"/>
        </w:rPr>
        <w:t xml:space="preserve"> şi este înainte de toate lumina dumnezeiască reflectată în oglinda sufletului curăţit: sufletul „primeşte în el discul soarelui” şi se adânceşte în sentimentul prezenţei, al venirii lui Dumnezeu. Teologia mistică este tocmai această cunoaştere prin </w:t>
      </w:r>
      <w:r w:rsidRPr="00EA3B4B">
        <w:rPr>
          <w:rFonts w:cs="Times New Roman"/>
          <w:i/>
          <w:lang w:val="ro-RO"/>
        </w:rPr>
        <w:t>inhabitarea</w:t>
      </w:r>
      <w:r w:rsidRPr="00EA3B4B">
        <w:rPr>
          <w:rFonts w:cs="Times New Roman"/>
          <w:lang w:val="ro-RO"/>
        </w:rPr>
        <w:t xml:space="preserve"> (locuirea în) Cuvântului . Este vorba deci, de la început, nu de a cunoaşte ceva despre Dumnezeu, ci „de a-L avea pe Dumnezeu în tine”. Aici categoria esenţială este </w:t>
      </w:r>
      <w:r w:rsidRPr="00EA3B4B">
        <w:rPr>
          <w:rFonts w:cs="Times New Roman"/>
          <w:i/>
          <w:lang w:val="ro-RO"/>
        </w:rPr>
        <w:t>plinul</w:t>
      </w:r>
      <w:r w:rsidRPr="00EA3B4B">
        <w:rPr>
          <w:rFonts w:cs="Times New Roman"/>
          <w:lang w:val="ro-RO"/>
        </w:rPr>
        <w:t xml:space="preserve"> sau </w:t>
      </w:r>
      <w:r w:rsidRPr="00EA3B4B">
        <w:rPr>
          <w:rFonts w:cs="Times New Roman"/>
          <w:i/>
          <w:lang w:val="ro-RO"/>
        </w:rPr>
        <w:t>golul</w:t>
      </w:r>
      <w:r w:rsidRPr="00EA3B4B">
        <w:rPr>
          <w:rFonts w:cs="Times New Roman"/>
          <w:lang w:val="ro-RO"/>
        </w:rPr>
        <w:t>, să fii golit de orice substanţă duhovnicească, sau să te umpli de prezenţa dumnezeiască, „</w:t>
      </w:r>
      <w:r w:rsidRPr="00EA3B4B">
        <w:rPr>
          <w:rFonts w:cs="Times New Roman"/>
          <w:i/>
          <w:lang w:val="ro-RO"/>
        </w:rPr>
        <w:t xml:space="preserve">Ave gratia plena” </w:t>
      </w:r>
      <w:r w:rsidRPr="00EA3B4B">
        <w:rPr>
          <w:rFonts w:cs="Times New Roman"/>
          <w:lang w:val="ro-RO"/>
        </w:rPr>
        <w:t>sau, în cazul Sfântului Ştefan, „să fii umplut de Duhul Sfânt”. Este o conştientizare progresivă a prezenţei Cuvântului Care iluminează”</w:t>
      </w:r>
      <w:r w:rsidRPr="00EA3B4B">
        <w:rPr>
          <w:rStyle w:val="FootnoteReference"/>
          <w:rFonts w:cs="Times New Roman"/>
          <w:lang w:val="ro-RO"/>
        </w:rPr>
        <w:footnoteReference w:id="14"/>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În deplin acord cu Sfinţii Părinţi, cel mai cunoscut teolog român a înţeles că întreaga </w:t>
      </w:r>
      <w:r w:rsidRPr="00EA3B4B">
        <w:rPr>
          <w:rFonts w:cs="Times New Roman"/>
          <w:i/>
          <w:lang w:val="ro-RO"/>
        </w:rPr>
        <w:t>theognosie</w:t>
      </w:r>
      <w:r w:rsidRPr="00EA3B4B">
        <w:rPr>
          <w:rFonts w:cs="Times New Roman"/>
          <w:lang w:val="ro-RO"/>
        </w:rPr>
        <w:t xml:space="preserve"> se bazează pe transfigurarea celui ce cunoaşte - rolul principal al teologiei fiind acela de a transmite mărturia experierii</w:t>
      </w:r>
      <w:r w:rsidRPr="00EA3B4B">
        <w:rPr>
          <w:rStyle w:val="FootnoteReference"/>
          <w:rFonts w:cs="Times New Roman"/>
          <w:lang w:val="ro-RO"/>
        </w:rPr>
        <w:footnoteReference w:id="15"/>
      </w:r>
      <w:r w:rsidRPr="00EA3B4B">
        <w:rPr>
          <w:rFonts w:cs="Times New Roman"/>
          <w:lang w:val="ro-RO"/>
        </w:rPr>
        <w:t xml:space="preserve"> lui Dumnezeu. Dacă putem cunoaşte ceva din Dumnezeu- spune părintele Stăniloae- aceasta se datorează „pogorământului” Său. De aici deducem atât faptul pozitiv că putem cunoaşte ceva din Dumnezeu, cât şi faptul că Dumnezeu prin fiinţa este mai presus de toată putinţa noastră de cunoaştere şi de orice „condescendenţă”, dar El ni Se poate face accesibil printr-un act voluntar de pogorâre la nivelul nostru, deoarece întotdeauna persoana transcende fiinţa. Noi nu suntem cu totul incapabili de divin, dar suntem capabili prin bunăvoinţa creatoare şi revelatoare a lui Dumnezeu, nu printr-o simplă conformitate de natură. Comunicabilitatea între Dumnezeu şi noi are ca premiză caracterul personal al lui Dumnezeu şi faptul că ne-a făcut şi pe noi persoane în stare să primim comunicările voluntare de care ne învredniceşte prin pogorământul Său</w:t>
      </w:r>
      <w:r w:rsidRPr="00EA3B4B">
        <w:rPr>
          <w:rStyle w:val="FootnoteReference"/>
          <w:rFonts w:cs="Times New Roman"/>
          <w:lang w:val="ro-RO"/>
        </w:rPr>
        <w:footnoteReference w:id="16"/>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i/>
          <w:lang w:val="ro-RO"/>
        </w:rPr>
        <w:t>Theognosia</w:t>
      </w:r>
      <w:r w:rsidRPr="00EA3B4B">
        <w:rPr>
          <w:rFonts w:cs="Times New Roman"/>
          <w:lang w:val="ro-RO"/>
        </w:rPr>
        <w:t xml:space="preserve"> este posibilă doar prin har, „iar de harul cunoştinţei de Dumnezeu [mintea-</w:t>
      </w:r>
      <w:r w:rsidRPr="00EA3B4B">
        <w:rPr>
          <w:rFonts w:cs="Times New Roman"/>
          <w:i/>
          <w:lang w:val="ro-RO"/>
        </w:rPr>
        <w:t>nous</w:t>
      </w:r>
      <w:r w:rsidRPr="00EA3B4B">
        <w:rPr>
          <w:rFonts w:cs="Times New Roman"/>
          <w:lang w:val="ro-RO"/>
        </w:rPr>
        <w:t xml:space="preserve">] se va învrednici atunci când, străbătând toate cele spuse mai înainte prin aripile iubirii şi ajungând în Dumnezeu, </w:t>
      </w:r>
      <w:r w:rsidRPr="00EA3B4B">
        <w:rPr>
          <w:rFonts w:cs="Times New Roman"/>
          <w:lang w:val="ro-RO"/>
        </w:rPr>
        <w:lastRenderedPageBreak/>
        <w:t>va scruta prin Duhul raţiunea [</w:t>
      </w:r>
      <w:r w:rsidRPr="00EA3B4B">
        <w:rPr>
          <w:rFonts w:cs="Times New Roman"/>
          <w:i/>
          <w:lang w:val="ro-RO"/>
        </w:rPr>
        <w:t>logos</w:t>
      </w:r>
      <w:r w:rsidRPr="00EA3B4B">
        <w:rPr>
          <w:rFonts w:cs="Times New Roman"/>
          <w:lang w:val="ro-RO"/>
        </w:rPr>
        <w:t>] privitoare la El, atât cât este minţii omeneşti cu putinţă”</w:t>
      </w:r>
      <w:r w:rsidRPr="00EA3B4B">
        <w:rPr>
          <w:rStyle w:val="FootnoteReference"/>
          <w:rFonts w:cs="Times New Roman"/>
          <w:lang w:val="ro-RO"/>
        </w:rPr>
        <w:footnoteReference w:id="17"/>
      </w:r>
      <w:r w:rsidRPr="00EA3B4B">
        <w:rPr>
          <w:rFonts w:cs="Times New Roman"/>
          <w:lang w:val="ro-RO"/>
        </w:rPr>
        <w:t>. Această cunoaştere este primită de minte (</w:t>
      </w:r>
      <w:r w:rsidRPr="00EA3B4B">
        <w:rPr>
          <w:rFonts w:cs="Times New Roman"/>
          <w:i/>
          <w:lang w:val="ro-RO"/>
        </w:rPr>
        <w:t>nous</w:t>
      </w:r>
      <w:r w:rsidRPr="00EA3B4B">
        <w:rPr>
          <w:rFonts w:cs="Times New Roman"/>
          <w:lang w:val="ro-RO"/>
        </w:rPr>
        <w:t>) care a devenit receptivă la descoperirea lui Dumnezeu, fapt posibil deoarece, mintea lui Hristos, pe care o primesc Sfinţii, după cuvântul:</w:t>
      </w:r>
      <w:r w:rsidRPr="00EA3B4B">
        <w:rPr>
          <w:rFonts w:cs="Times New Roman"/>
          <w:i/>
          <w:lang w:val="ro-RO"/>
        </w:rPr>
        <w:t xml:space="preserve"> „Iar noi avem mintea </w:t>
      </w:r>
      <w:r w:rsidRPr="00EA3B4B">
        <w:rPr>
          <w:rFonts w:cs="Times New Roman"/>
          <w:lang w:val="ro-RO"/>
        </w:rPr>
        <w:t>(noun)</w:t>
      </w:r>
      <w:r w:rsidRPr="00EA3B4B">
        <w:rPr>
          <w:rFonts w:cs="Times New Roman"/>
          <w:i/>
          <w:lang w:val="ro-RO"/>
        </w:rPr>
        <w:t xml:space="preserve"> lui Hristos” </w:t>
      </w:r>
      <w:r w:rsidRPr="00EA3B4B">
        <w:rPr>
          <w:rFonts w:cs="Times New Roman"/>
          <w:lang w:val="ro-RO"/>
        </w:rPr>
        <w:t>(1 Co. 2, 16), „nu vine în noi ca să ne lipsească de puterea noastră mintală, nici ca să întregească mintea noastră, ci ca să lumineze, prin calitatea ei, puterea minţii noastre şi să o ducă la aceeaşi lucrare cu a Lui. Căci mintea lui Hristos, eu zic că o are cel ce cugetă ca El şi prin toate Îl cugetă pe El”</w:t>
      </w:r>
      <w:r w:rsidRPr="00EA3B4B">
        <w:rPr>
          <w:rStyle w:val="FootnoteReference"/>
          <w:rFonts w:cs="Times New Roman"/>
          <w:lang w:val="ro-RO"/>
        </w:rPr>
        <w:footnoteReference w:id="18"/>
      </w:r>
      <w:r w:rsidRPr="00EA3B4B">
        <w:rPr>
          <w:rFonts w:cs="Times New Roman"/>
          <w:lang w:val="ro-RO"/>
        </w:rPr>
        <w:t xml:space="preserve">. Facultatea </w:t>
      </w:r>
      <w:r w:rsidRPr="00EA3B4B">
        <w:rPr>
          <w:rFonts w:cs="Times New Roman"/>
          <w:i/>
          <w:lang w:val="ro-RO"/>
        </w:rPr>
        <w:t>noetică</w:t>
      </w:r>
      <w:r w:rsidRPr="00EA3B4B">
        <w:rPr>
          <w:rFonts w:cs="Times New Roman"/>
          <w:lang w:val="ro-RO"/>
        </w:rPr>
        <w:t xml:space="preserve"> nu se suspendă niciodată, dimpotrivă: „sălăşluirea lui Hristos în noi - scrie Părintele Stăniloae în nota la ultimul text citat - nu are ca efect o absorbire a spiritului creat în Logosul divin, ci o activare divină şi supranaturală a facultăţii naturale, care ca facultate, rămâne naturală. Cum zice Sfântul Maxim în altă parte: «Căci niciodată harul nu distruge puterea naturii. Dimpotrivă: el face natura slăbită prin abuzul nenatural iarăşi capabilă de activitatea ei naturală»</w:t>
      </w:r>
      <w:r w:rsidRPr="00EA3B4B">
        <w:rPr>
          <w:rStyle w:val="FootnoteReference"/>
          <w:rFonts w:cs="Times New Roman"/>
          <w:lang w:val="ro-RO"/>
        </w:rPr>
        <w:footnoteReference w:id="1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Suprema </w:t>
      </w:r>
      <w:r w:rsidRPr="00EA3B4B">
        <w:rPr>
          <w:rFonts w:cs="Times New Roman"/>
          <w:i/>
          <w:lang w:val="ro-RO"/>
        </w:rPr>
        <w:t>theognosie</w:t>
      </w:r>
      <w:r w:rsidRPr="00EA3B4B">
        <w:rPr>
          <w:rFonts w:cs="Times New Roman"/>
          <w:lang w:val="ro-RO"/>
        </w:rPr>
        <w:t xml:space="preserve"> aparţine lui Dumnezeu în perfecţiunea fiinţei Sale eterne - </w:t>
      </w:r>
      <w:r w:rsidRPr="00EA3B4B">
        <w:rPr>
          <w:rFonts w:cs="Times New Roman"/>
          <w:i/>
          <w:lang w:val="ro-RO"/>
        </w:rPr>
        <w:t>Teologia in se.</w:t>
      </w:r>
      <w:r w:rsidRPr="00EA3B4B">
        <w:rPr>
          <w:rFonts w:cs="Times New Roman"/>
          <w:lang w:val="ro-RO"/>
        </w:rPr>
        <w:t xml:space="preserve"> „Numai Dumnezeu cunoaşte cele ale Sale, adică natura Lui, şi Se cunoaşte pe Sine aşa cum este, iar tuturor creaturilor rămâne necunoscut în Sine, adică ce este şi cum este, căci „</w:t>
      </w:r>
      <w:r w:rsidRPr="00EA3B4B">
        <w:rPr>
          <w:rFonts w:cs="Times New Roman"/>
          <w:i/>
          <w:lang w:val="ro-RO"/>
        </w:rPr>
        <w:t xml:space="preserve">nimeni nu cunoaşte pe Tatăl, decât numai Fiul, nici pe Fiul, decât numai Tatăl” </w:t>
      </w:r>
      <w:r w:rsidRPr="00EA3B4B">
        <w:rPr>
          <w:rFonts w:cs="Times New Roman"/>
          <w:lang w:val="ro-RO"/>
        </w:rPr>
        <w:t>(Mt. 11, 27), căci Tatăl cunoscând Chipul Său, adică pe Fiul, Se cunoaşte pe Sine Însuşi. Acelaşi lucru trebuie spus şi despre Duhul Sfânt, căci „</w:t>
      </w:r>
      <w:r w:rsidRPr="00EA3B4B">
        <w:rPr>
          <w:rFonts w:cs="Times New Roman"/>
          <w:i/>
          <w:lang w:val="ro-RO"/>
        </w:rPr>
        <w:t xml:space="preserve">cele ale lui Dumnezeu nimeni nu le-a cunoscut, decât Duhul lui Dumnezeu” </w:t>
      </w:r>
      <w:r w:rsidRPr="00EA3B4B">
        <w:rPr>
          <w:rFonts w:cs="Times New Roman"/>
          <w:lang w:val="ro-RO"/>
        </w:rPr>
        <w:t>(1 Co 2, 11). Numai Sfânta Treime Îşi cunoaşte fiinţa proprie”</w:t>
      </w:r>
      <w:r w:rsidRPr="00EA3B4B">
        <w:rPr>
          <w:rStyle w:val="FootnoteReference"/>
          <w:rFonts w:cs="Times New Roman"/>
          <w:lang w:val="ro-RO"/>
        </w:rPr>
        <w:footnoteReference w:id="20"/>
      </w:r>
      <w:r w:rsidRPr="00EA3B4B">
        <w:rPr>
          <w:rFonts w:cs="Times New Roman"/>
          <w:lang w:val="ro-RO"/>
        </w:rPr>
        <w:t>. Dar „în cunoaşterea reciprocă a Persoanelor treimice ca subiecte nelimitate, e dată pentru Dumnezeu, odată cu eternitatea, baza pentru posibilitatea cunoaşterii altor subiecte, deci şi pentru crearea lor, a unor subiecte limitate în ele înseşi. Dumnezeu coboară în cunoaşterea lor iubitoare la dimensiunea lor limitată, dar în acelaşi timp le ridică prin iubirea Sa la unirea cu Sine, în ambianţa realităţii Sale infinite”</w:t>
      </w:r>
      <w:r w:rsidRPr="00EA3B4B">
        <w:rPr>
          <w:rStyle w:val="FootnoteReference"/>
          <w:rFonts w:cs="Times New Roman"/>
          <w:lang w:val="ro-RO"/>
        </w:rPr>
        <w:footnoteReference w:id="21"/>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Părintele Stăniloae precizează faptul că Biserica Ortodoxă nu face o separaţie între revelaţia naturală şi cea supranaturală. Ultima nu este, după Sfântul Maxim Mărturisitorul, decât încorporarea celei dintâi în persoane şi acţiuni istorice</w:t>
      </w:r>
      <w:r w:rsidRPr="00EA3B4B">
        <w:rPr>
          <w:rStyle w:val="FootnoteReference"/>
          <w:rFonts w:cs="Times New Roman"/>
          <w:lang w:val="ro-RO"/>
        </w:rPr>
        <w:footnoteReference w:id="22"/>
      </w:r>
      <w:r w:rsidRPr="00EA3B4B">
        <w:rPr>
          <w:rFonts w:cs="Times New Roman"/>
          <w:lang w:val="ro-RO"/>
        </w:rPr>
        <w:t>. De fapt, „la început, în starea deplin normală a lumii, revelaţia naturală nu era despărţită de o revelaţie supranaturală”</w:t>
      </w:r>
      <w:r w:rsidRPr="00EA3B4B">
        <w:rPr>
          <w:rStyle w:val="FootnoteReference"/>
          <w:rFonts w:cs="Times New Roman"/>
          <w:lang w:val="ro-RO"/>
        </w:rPr>
        <w:footnoteReference w:id="23"/>
      </w:r>
      <w:r w:rsidRPr="00EA3B4B">
        <w:rPr>
          <w:rFonts w:cs="Times New Roman"/>
          <w:lang w:val="ro-RO"/>
        </w:rPr>
        <w:t>. Referatul biblic este foarte sugestiv:</w:t>
      </w:r>
      <w:r w:rsidRPr="00EA3B4B">
        <w:rPr>
          <w:rFonts w:cs="Times New Roman"/>
          <w:i/>
          <w:lang w:val="ro-RO"/>
        </w:rPr>
        <w:t xml:space="preserve"> „Dumnezeu umbla prin rai în răcoarea serii” </w:t>
      </w:r>
      <w:r w:rsidRPr="00EA3B4B">
        <w:rPr>
          <w:rFonts w:cs="Times New Roman"/>
          <w:lang w:val="ro-RO"/>
        </w:rPr>
        <w:t>(Fc. 3, 8)</w:t>
      </w:r>
      <w:r w:rsidRPr="00EA3B4B">
        <w:rPr>
          <w:rStyle w:val="FootnoteReference"/>
          <w:rFonts w:cs="Times New Roman"/>
          <w:lang w:val="ro-RO"/>
        </w:rPr>
        <w:footnoteReference w:id="24"/>
      </w:r>
      <w:r w:rsidRPr="00EA3B4B">
        <w:rPr>
          <w:rFonts w:cs="Times New Roman"/>
          <w:lang w:val="ro-RO"/>
        </w:rPr>
        <w:t>. „Omul a fost a fost pus în dialogul cu Dumnezeu de la creaţia sa. Dar aplecarea spre o viaţă nutrită mai mult din cunoaşterea proprie decât din dialogul cu Dumnezeu, a slăbit acest dialog. Căci dialogul cere şi ascultare, deci smerenie. Când Dumnezeu îl agrăieşte după căderea din relaţia directă cu El, omul se ascunde în tufişul naturii. Dacă mai aude glasul lui Dumnezeu, îl aude ca glas mustrător, fără să-L mai vadă pe Dumnezeu”</w:t>
      </w:r>
      <w:r w:rsidRPr="00EA3B4B">
        <w:rPr>
          <w:rStyle w:val="FootnoteReference"/>
          <w:rFonts w:cs="Times New Roman"/>
          <w:lang w:val="ro-RO"/>
        </w:rPr>
        <w:footnoteReference w:id="25"/>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Pentru Părintele Stăniloae, </w:t>
      </w:r>
      <w:r w:rsidRPr="00EA3B4B">
        <w:rPr>
          <w:rFonts w:cs="Times New Roman"/>
          <w:i/>
          <w:lang w:val="ro-RO"/>
        </w:rPr>
        <w:t>revelaţia naturală are valoare</w:t>
      </w:r>
      <w:r w:rsidRPr="00EA3B4B">
        <w:rPr>
          <w:rFonts w:cs="Times New Roman"/>
          <w:lang w:val="ro-RO"/>
        </w:rPr>
        <w:t xml:space="preserve"> deoarece conţinutul său este cosmosul şi omul dotat cu raţiune, conştiinţă şi libertate, omul fiind nu doar obiect de cunoscut, ci şi subiect al cunoaşterii ei</w:t>
      </w:r>
      <w:r w:rsidRPr="00EA3B4B">
        <w:rPr>
          <w:rStyle w:val="FootnoteReference"/>
          <w:rFonts w:cs="Times New Roman"/>
          <w:lang w:val="ro-RO"/>
        </w:rPr>
        <w:footnoteReference w:id="26"/>
      </w:r>
      <w:r w:rsidRPr="00EA3B4B">
        <w:rPr>
          <w:rFonts w:cs="Times New Roman"/>
          <w:lang w:val="ro-RO"/>
        </w:rPr>
        <w:t xml:space="preserve">. „Cosmosul e organizat într-un mod corespunzător capacităţii noastre de cunoaştere. Cosmosul şi natura umană ca intim legată de cosmos sunt imprimate de o raţionalitate, iar omul - creatură a </w:t>
      </w:r>
      <w:r w:rsidRPr="00EA3B4B">
        <w:rPr>
          <w:rFonts w:cs="Times New Roman"/>
          <w:lang w:val="ro-RO"/>
        </w:rPr>
        <w:lastRenderedPageBreak/>
        <w:t>lui Dumnezeu - e dotat în plus cu o raţiune capabilă de cunoaştere conştientă a cosmosului şi a propriei sale naturi”</w:t>
      </w:r>
      <w:r w:rsidRPr="00EA3B4B">
        <w:rPr>
          <w:rStyle w:val="FootnoteReference"/>
          <w:rFonts w:cs="Times New Roman"/>
          <w:lang w:val="ro-RO"/>
        </w:rPr>
        <w:footnoteReference w:id="27"/>
      </w:r>
      <w:r w:rsidRPr="00EA3B4B">
        <w:rPr>
          <w:rFonts w:cs="Times New Roman"/>
          <w:lang w:val="ro-RO"/>
        </w:rPr>
        <w:t>. Raţionalitatea cosmosului constituie mărturia creării sale de către o Fiinţă raţională, dar cosmosul cu raţionalitatea sa ar fi fără sens dacă n-ar exista raţiunea umană capabilă să perceapă raţiunile (</w:t>
      </w:r>
      <w:r w:rsidRPr="00EA3B4B">
        <w:rPr>
          <w:rFonts w:cs="Times New Roman"/>
          <w:i/>
          <w:lang w:val="ro-RO"/>
        </w:rPr>
        <w:t>logoi spermatikoi, rationes seminales</w:t>
      </w:r>
      <w:r w:rsidRPr="00EA3B4B">
        <w:rPr>
          <w:rFonts w:cs="Times New Roman"/>
          <w:lang w:val="ro-RO"/>
        </w:rPr>
        <w:t>)</w:t>
      </w:r>
      <w:r w:rsidRPr="00EA3B4B">
        <w:rPr>
          <w:rFonts w:cs="Times New Roman"/>
          <w:i/>
          <w:lang w:val="ro-RO"/>
        </w:rPr>
        <w:t xml:space="preserve"> </w:t>
      </w:r>
      <w:r w:rsidRPr="00EA3B4B">
        <w:rPr>
          <w:rFonts w:cs="Times New Roman"/>
          <w:lang w:val="ro-RO"/>
        </w:rPr>
        <w:t>sădite de Logos în creaţie. „Aceasta înseamnă că nu noi suntem pentru lume, ci lumea pentru noi, deşi lumea îi este necesară omului. Omul e scopul lumii, nu invers”</w:t>
      </w:r>
      <w:r w:rsidRPr="00EA3B4B">
        <w:rPr>
          <w:rStyle w:val="FootnoteReference"/>
          <w:rFonts w:cs="Times New Roman"/>
          <w:lang w:val="ro-RO"/>
        </w:rPr>
        <w:footnoteReference w:id="28"/>
      </w:r>
      <w:r w:rsidRPr="00EA3B4B">
        <w:rPr>
          <w:rFonts w:cs="Times New Roman"/>
          <w:lang w:val="ro-RO"/>
        </w:rPr>
        <w:t xml:space="preserve">. Chiar dacă unii Părinţi au afirmat că omul este un </w:t>
      </w:r>
      <w:r w:rsidRPr="00EA3B4B">
        <w:rPr>
          <w:rFonts w:cs="Times New Roman"/>
          <w:i/>
          <w:lang w:val="ro-RO"/>
        </w:rPr>
        <w:t xml:space="preserve">microcosm, </w:t>
      </w:r>
      <w:r w:rsidRPr="00EA3B4B">
        <w:rPr>
          <w:rFonts w:cs="Times New Roman"/>
          <w:lang w:val="ro-RO"/>
        </w:rPr>
        <w:t xml:space="preserve">o lume care rezumă în sine pe cea mare, Sfântul Maxim Mărturisitorul a remarcat că este mai corect să se vorbească de om ca </w:t>
      </w:r>
      <w:r w:rsidRPr="00EA3B4B">
        <w:rPr>
          <w:rFonts w:cs="Times New Roman"/>
          <w:i/>
          <w:lang w:val="ro-RO"/>
        </w:rPr>
        <w:t xml:space="preserve">macrocosm, </w:t>
      </w:r>
      <w:r w:rsidRPr="00EA3B4B">
        <w:rPr>
          <w:rFonts w:cs="Times New Roman"/>
          <w:lang w:val="ro-RO"/>
        </w:rPr>
        <w:t xml:space="preserve">deoarece este chemat să cuprindă în sine toată lumea. „Dar un termen mai precis pentru exprimarea faptului că omul e chemat să devină o lume mare, este acela de </w:t>
      </w:r>
      <w:r w:rsidRPr="00EA3B4B">
        <w:rPr>
          <w:rFonts w:cs="Times New Roman"/>
          <w:i/>
          <w:lang w:val="ro-RO"/>
        </w:rPr>
        <w:t>macroanthropos</w:t>
      </w:r>
      <w:r w:rsidRPr="00EA3B4B">
        <w:rPr>
          <w:rFonts w:cs="Times New Roman"/>
          <w:lang w:val="ro-RO"/>
        </w:rPr>
        <w:t>, care exprimă faptul că propriu-zis lumea e chemată să se umanizeze întreagă, adică să primească întreagă pecetea umanului, să devină pan-umană, actualizându-se în ea o trebuinţă implicată în rostul ei; să devină întreagă un cosmos umanizat”</w:t>
      </w:r>
      <w:r w:rsidRPr="00EA3B4B">
        <w:rPr>
          <w:rStyle w:val="FootnoteReference"/>
          <w:rFonts w:cs="Times New Roman"/>
          <w:lang w:val="ro-RO"/>
        </w:rPr>
        <w:footnoteReference w:id="29"/>
      </w:r>
      <w:r w:rsidRPr="00EA3B4B">
        <w:rPr>
          <w:rFonts w:cs="Times New Roman"/>
          <w:lang w:val="ro-RO"/>
        </w:rPr>
        <w:t>. De fapt „tot universul poartă marca unei raţionalităţi personale destinate eternizării persoanelor umane”</w:t>
      </w:r>
      <w:r w:rsidRPr="00EA3B4B">
        <w:rPr>
          <w:rStyle w:val="FootnoteReference"/>
          <w:rFonts w:cs="Times New Roman"/>
          <w:lang w:val="ro-RO"/>
        </w:rPr>
        <w:footnoteReference w:id="30"/>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i/>
          <w:lang w:val="ro-RO"/>
        </w:rPr>
        <w:t>Theognosia din perspectiva unirii ipostatice</w:t>
      </w:r>
    </w:p>
    <w:p w:rsidR="004D40C5" w:rsidRPr="00EA3B4B" w:rsidRDefault="004D40C5" w:rsidP="004D40C5">
      <w:pPr>
        <w:ind w:left="-567" w:right="-709" w:firstLine="851"/>
        <w:jc w:val="both"/>
        <w:rPr>
          <w:rFonts w:cs="Times New Roman"/>
          <w:lang w:val="ro-RO"/>
        </w:rPr>
      </w:pPr>
      <w:r w:rsidRPr="00EA3B4B">
        <w:rPr>
          <w:rFonts w:cs="Times New Roman"/>
          <w:lang w:val="ro-RO"/>
        </w:rPr>
        <w:t>Credinţa naturală, întemeiată pe revelaţia lui Dumnezeu în natură, pe raţionalitatea lumii, a devenit incertă din cauza păcatului. Ca urmare: „Persoana infinită şi eternă intră din proprie iniţiativă în comunicare cu omul, dând un fundament şi comuniunii noastre cu semenii”</w:t>
      </w:r>
      <w:r w:rsidRPr="00EA3B4B">
        <w:rPr>
          <w:rStyle w:val="FootnoteReference"/>
          <w:rFonts w:cs="Times New Roman"/>
          <w:lang w:val="ro-RO"/>
        </w:rPr>
        <w:footnoteReference w:id="31"/>
      </w:r>
      <w:r w:rsidRPr="00EA3B4B">
        <w:rPr>
          <w:rFonts w:cs="Times New Roman"/>
          <w:lang w:val="ro-RO"/>
        </w:rPr>
        <w:t xml:space="preserve"> prin Revelaţia supranaturală, confirmare şi completare a credinţei naturale. Părintele Stăniloae vorbeşte atât de o convergenţă, cât şi de deosebiri între cele două revelaţii. Convergenţa constă în faptul că, spre deosebire de teologia occidentală care susţine că în revelaţia naturală ar fi activ numai omul, credinciosul se simte prin ambele în legătură nemijlocită cu Dumnezeu. În acelaşi timp, Revelaţia supranaturală este o precizare a celei naturale, printr-o ieşire mai directă în evidenţă a lui Dumnezeu, printr-o suită de acte prin care Dumnezeu pregăteşte în mod gradat natura umană. A recurs la aceste acte în timpul patriarhilor, în momentele principale ale formării şi apărării poporului Israel, iar prin actele săvârşite de Iisus Hristos „s-a inaugurat perioada cea cu adevărat nouă şi ultimă, prin care se formează poporul lui Dumnezeu de pretutindeni, care înaintează spre însuşirea de către om a tot ce-i este dat omenescului în Hristos, spre participarea la Dumnezeu prin comuniunea directă şi maximă cu El”</w:t>
      </w:r>
      <w:r w:rsidRPr="00EA3B4B">
        <w:rPr>
          <w:rStyle w:val="FootnoteReference"/>
          <w:rFonts w:cs="Times New Roman"/>
          <w:lang w:val="ro-RO"/>
        </w:rPr>
        <w:footnoteReference w:id="32"/>
      </w:r>
      <w:r w:rsidRPr="00EA3B4B">
        <w:rPr>
          <w:rFonts w:cs="Times New Roman"/>
          <w:lang w:val="ro-RO"/>
        </w:rPr>
        <w:t>. Fiul lui Dumnezeu este Teologul prin excelenţă: „</w:t>
      </w:r>
      <w:r w:rsidRPr="00EA3B4B">
        <w:rPr>
          <w:rFonts w:cs="Times New Roman"/>
          <w:i/>
          <w:lang w:val="ro-RO"/>
        </w:rPr>
        <w:t>Pe Dumnezeu nimeni nu L-a văzut vreodată</w:t>
      </w:r>
      <w:r w:rsidRPr="00EA3B4B">
        <w:rPr>
          <w:rFonts w:cs="Times New Roman"/>
          <w:lang w:val="ro-RO"/>
        </w:rPr>
        <w:t>”</w:t>
      </w:r>
      <w:r w:rsidRPr="00EA3B4B">
        <w:rPr>
          <w:rFonts w:cs="Times New Roman"/>
          <w:i/>
          <w:lang w:val="ro-RO"/>
        </w:rPr>
        <w:t xml:space="preserve"> </w:t>
      </w:r>
      <w:r w:rsidRPr="00EA3B4B">
        <w:rPr>
          <w:rFonts w:cs="Times New Roman"/>
          <w:lang w:val="ro-RO"/>
        </w:rPr>
        <w:t>(In</w:t>
      </w:r>
      <w:r w:rsidRPr="00EA3B4B">
        <w:rPr>
          <w:rFonts w:cs="Times New Roman"/>
          <w:i/>
          <w:lang w:val="ro-RO"/>
        </w:rPr>
        <w:t xml:space="preserve">. </w:t>
      </w:r>
      <w:r w:rsidRPr="00EA3B4B">
        <w:rPr>
          <w:rFonts w:cs="Times New Roman"/>
          <w:lang w:val="ro-RO"/>
        </w:rPr>
        <w:t>1, 18</w:t>
      </w:r>
      <w:r w:rsidRPr="00EA3B4B">
        <w:rPr>
          <w:rFonts w:cs="Times New Roman"/>
          <w:i/>
          <w:lang w:val="ro-RO"/>
        </w:rPr>
        <w:t xml:space="preserve">). </w:t>
      </w:r>
      <w:r w:rsidRPr="00EA3B4B">
        <w:rPr>
          <w:rFonts w:cs="Times New Roman"/>
          <w:lang w:val="ro-RO"/>
        </w:rPr>
        <w:t>El vine „</w:t>
      </w:r>
      <w:r w:rsidRPr="00EA3B4B">
        <w:rPr>
          <w:rFonts w:cs="Times New Roman"/>
          <w:i/>
          <w:lang w:val="ro-RO"/>
        </w:rPr>
        <w:t>întru ale Sale</w:t>
      </w:r>
      <w:r w:rsidRPr="00EA3B4B">
        <w:rPr>
          <w:rFonts w:cs="Times New Roman"/>
          <w:lang w:val="ro-RO"/>
        </w:rPr>
        <w:t xml:space="preserve">” (In. 1, 11) deoarece, pe de o parte omul este </w:t>
      </w:r>
      <w:r w:rsidRPr="00EA3B4B">
        <w:rPr>
          <w:rFonts w:cs="Times New Roman"/>
          <w:i/>
          <w:lang w:val="ro-RO"/>
        </w:rPr>
        <w:t>eikon eikonos</w:t>
      </w:r>
      <w:r w:rsidRPr="00EA3B4B">
        <w:rPr>
          <w:rFonts w:cs="Times New Roman"/>
          <w:lang w:val="ro-RO"/>
        </w:rPr>
        <w:t>, chipul Chipului Tatălui, adică chipul Fiului, pe de altă parte Logosul S-a întrupat în lumea plină de raţiunile (</w:t>
      </w:r>
      <w:r w:rsidRPr="00EA3B4B">
        <w:rPr>
          <w:rFonts w:cs="Times New Roman"/>
          <w:i/>
          <w:lang w:val="ro-RO"/>
        </w:rPr>
        <w:t>logoi</w:t>
      </w:r>
      <w:r w:rsidRPr="00EA3B4B">
        <w:rPr>
          <w:rFonts w:cs="Times New Roman"/>
          <w:lang w:val="ro-RO"/>
        </w:rPr>
        <w:t>) sădite de El la creaţie, a păşit în lumea Sa. El nu este doar Cuvântul lui Dumnezeu către noi, ci şi cuvântul omului către om, într-o dimensiune orizontală permanentizată în istorie. Părintele spune că „deosebirea lui Iisus ca om, de ceilalţi oameni, stă în faptul că El, ca om, este nu un centru autonom de acte şi reacţii; ci centrul omenesc al acestora, este în acelaşi timp şi centrul dumnezeiesc al lor şi al actelor Sale dumnezeieşti. Toată natura omenească a Sa s-a centrat prin aceasta nu în afară de Dumnezeu, ci în Dumnezeu-Cuvântul. Între oameni a păşit un om care nu mai e centrat în el însuşi, ci în Dumnezeu, e identic ca persoană cu Dumnezeu. Relaţiile celorlalţi oameni cu acest semen al lor nu sunt relaţii trăite în afară de Dumnezeu, ci relaţii cu Dumnezeu Însuşi. Întrucât acest centru ipostatic are o putere de atracţie spre Dumnezeu şi de iradiere a binelui, care depăşeşte toate centrele pur omeneşti, el este centrul nostru. În mijlocul creaţiei s-a plasat pentru eternitate un centru personal omenesc, care e în acelaşi timp dumnezeiesc”</w:t>
      </w:r>
      <w:r w:rsidRPr="00EA3B4B">
        <w:rPr>
          <w:rStyle w:val="FootnoteReference"/>
          <w:rFonts w:cs="Times New Roman"/>
          <w:lang w:val="ro-RO"/>
        </w:rPr>
        <w:footnoteReference w:id="33"/>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Prin urmare, trebuie să afirmăm clar faptul că, datorită </w:t>
      </w:r>
      <w:r w:rsidRPr="00EA3B4B">
        <w:rPr>
          <w:rFonts w:cs="Times New Roman"/>
          <w:i/>
          <w:lang w:val="ro-RO"/>
        </w:rPr>
        <w:t>unirii</w:t>
      </w:r>
      <w:r w:rsidRPr="00EA3B4B">
        <w:rPr>
          <w:rFonts w:cs="Times New Roman"/>
          <w:lang w:val="ro-RO"/>
        </w:rPr>
        <w:t xml:space="preserve"> </w:t>
      </w:r>
      <w:r w:rsidRPr="00EA3B4B">
        <w:rPr>
          <w:rFonts w:cs="Times New Roman"/>
          <w:i/>
          <w:lang w:val="ro-RO"/>
        </w:rPr>
        <w:t xml:space="preserve">ipostatice, </w:t>
      </w:r>
      <w:r w:rsidRPr="00EA3B4B">
        <w:rPr>
          <w:rFonts w:cs="Times New Roman"/>
          <w:lang w:val="ro-RO"/>
        </w:rPr>
        <w:t xml:space="preserve">nu mai putem susţine o </w:t>
      </w:r>
      <w:r w:rsidRPr="00EA3B4B">
        <w:rPr>
          <w:rFonts w:cs="Times New Roman"/>
          <w:i/>
          <w:lang w:val="ro-RO"/>
        </w:rPr>
        <w:t>theognosie</w:t>
      </w:r>
      <w:r w:rsidRPr="00EA3B4B">
        <w:rPr>
          <w:rFonts w:cs="Times New Roman"/>
          <w:lang w:val="ro-RO"/>
        </w:rPr>
        <w:t xml:space="preserve"> „din afară”, ci „din interior”. Părintele Stăniloae vorbeşte despre „</w:t>
      </w:r>
      <w:r w:rsidRPr="00EA3B4B">
        <w:rPr>
          <w:rFonts w:cs="Times New Roman"/>
          <w:i/>
          <w:lang w:val="ro-RO"/>
        </w:rPr>
        <w:t>cunoaşterea lui Dumnezeu de către noi în Hristos</w:t>
      </w:r>
      <w:r w:rsidRPr="00EA3B4B">
        <w:rPr>
          <w:rFonts w:cs="Times New Roman"/>
          <w:lang w:val="ro-RO"/>
        </w:rPr>
        <w:t>”</w:t>
      </w:r>
      <w:r w:rsidRPr="00EA3B4B">
        <w:rPr>
          <w:rFonts w:cs="Times New Roman"/>
          <w:i/>
          <w:lang w:val="ro-RO"/>
        </w:rPr>
        <w:t xml:space="preserve"> </w:t>
      </w:r>
      <w:r w:rsidRPr="00EA3B4B">
        <w:rPr>
          <w:rFonts w:cs="Times New Roman"/>
          <w:lang w:val="ro-RO"/>
        </w:rPr>
        <w:t xml:space="preserve">(s.n.), precizând că firea umană este „în Hristos la capătul desăvârşit al cunoaşterii de Dumnezeu şi deci şi al cunoaşterii de sine, sau dincolo de orice posibilitate de dezvoltare, la nivelul maxim </w:t>
      </w:r>
      <w:r w:rsidRPr="00EA3B4B">
        <w:rPr>
          <w:rFonts w:cs="Times New Roman"/>
          <w:lang w:val="ro-RO"/>
        </w:rPr>
        <w:lastRenderedPageBreak/>
        <w:t>la care se poate cunoaşte această fire şi la care poate cunoaşte pe Dumnezeu, şi Dumnezeu o cunoaşte de asemenea la acest capăt final şi maxim al ei. În Hristos a ajuns la împlinire ca în primul exemplar planul de mântuire şi de îndumnezeire a creaţiei. Mai sus nu poate duce acest plan. Dumnezeu nu vine mai aproape de om decât a făcut-o în Hristos. Unirea între Dumnezeu şi om nu poate înainta mai departe. Noi nu putem înainta la o mai mare împlinire decât în Hristos deoarece în El s-a realizat o interiorizare reciprocă totală între Dumnezeu şi umanitate, mai mult decât prin har. E o interiorizare într-un ipostas. În Hristos, Dumnezeu cunoaşte umanul ca pe Sine Însuşi, căci El e şi om, iar umanul cunoaşte pe Dumnezeu ca pe sine însuşi, căci acelaşi e şi Dumnezeu. În Hristos e dată posibilitatea ca noi să înaintăm spre treapta la care Dumnezeu cunoaşte pe om cum Se cunoaşte pe Sine Însuşi şi omul cunoaşte pe Dumnezeu cum se cunoaşte el însuşi. Dar pentru aceasta noi trebuie să înaintăm spre unirea cu Hristos”</w:t>
      </w:r>
      <w:r w:rsidRPr="00EA3B4B">
        <w:rPr>
          <w:rStyle w:val="FootnoteReference"/>
          <w:rFonts w:cs="Times New Roman"/>
          <w:lang w:val="ro-RO"/>
        </w:rPr>
        <w:footnoteReference w:id="34"/>
      </w:r>
      <w:r w:rsidRPr="00EA3B4B">
        <w:rPr>
          <w:rFonts w:cs="Times New Roman"/>
          <w:lang w:val="ro-RO"/>
        </w:rPr>
        <w:t>. Aceste cuvinte de o excepţională importanţă se găsesc în capitolul despre atributele divine, mai precis, la „</w:t>
      </w:r>
      <w:r w:rsidRPr="00EA3B4B">
        <w:rPr>
          <w:rFonts w:cs="Times New Roman"/>
          <w:i/>
          <w:lang w:val="ro-RO"/>
        </w:rPr>
        <w:t>Atotştiinţa şi înţelepciunea lui Dumnezeu şi participarea creaturilor raţionale la ele</w:t>
      </w:r>
      <w:r w:rsidRPr="00EA3B4B">
        <w:rPr>
          <w:rFonts w:cs="Times New Roman"/>
          <w:lang w:val="ro-RO"/>
        </w:rPr>
        <w:t>”</w:t>
      </w:r>
      <w:r w:rsidRPr="00EA3B4B">
        <w:rPr>
          <w:rStyle w:val="FootnoteReference"/>
          <w:rFonts w:cs="Times New Roman"/>
          <w:lang w:val="ro-RO"/>
        </w:rPr>
        <w:footnoteReference w:id="35"/>
      </w:r>
      <w:r w:rsidRPr="00EA3B4B">
        <w:rPr>
          <w:rFonts w:cs="Times New Roman"/>
          <w:lang w:val="ro-RO"/>
        </w:rPr>
        <w:t xml:space="preserve">, şi nu propriu-zis la capitolul despre </w:t>
      </w:r>
      <w:r w:rsidRPr="00EA3B4B">
        <w:rPr>
          <w:rFonts w:cs="Times New Roman"/>
          <w:i/>
          <w:lang w:val="ro-RO"/>
        </w:rPr>
        <w:t>cunoaşterea</w:t>
      </w:r>
      <w:r w:rsidRPr="00EA3B4B">
        <w:rPr>
          <w:rFonts w:cs="Times New Roman"/>
          <w:lang w:val="ro-RO"/>
        </w:rPr>
        <w:t xml:space="preserve"> </w:t>
      </w:r>
      <w:r w:rsidRPr="00EA3B4B">
        <w:rPr>
          <w:rFonts w:cs="Times New Roman"/>
          <w:i/>
          <w:lang w:val="ro-RO"/>
        </w:rPr>
        <w:t>lui</w:t>
      </w:r>
      <w:r w:rsidRPr="00EA3B4B">
        <w:rPr>
          <w:rFonts w:cs="Times New Roman"/>
          <w:lang w:val="ro-RO"/>
        </w:rPr>
        <w:t xml:space="preserve"> </w:t>
      </w:r>
      <w:r w:rsidRPr="00EA3B4B">
        <w:rPr>
          <w:rFonts w:cs="Times New Roman"/>
          <w:i/>
          <w:lang w:val="ro-RO"/>
        </w:rPr>
        <w:t>Dumnezeu</w:t>
      </w:r>
      <w:r w:rsidRPr="00EA3B4B">
        <w:rPr>
          <w:rFonts w:cs="Times New Roman"/>
          <w:lang w:val="ro-RO"/>
        </w:rPr>
        <w:t>, de aceea nu sunt destul de mult subliniate.</w:t>
      </w:r>
    </w:p>
    <w:p w:rsidR="004D40C5" w:rsidRPr="00EA3B4B" w:rsidRDefault="004D40C5" w:rsidP="004D40C5">
      <w:pPr>
        <w:ind w:left="-567" w:right="-709" w:firstLine="851"/>
        <w:jc w:val="both"/>
        <w:rPr>
          <w:rFonts w:cs="Times New Roman"/>
          <w:i/>
          <w:lang w:val="ro-RO"/>
        </w:rPr>
      </w:pPr>
      <w:r w:rsidRPr="00EA3B4B">
        <w:rPr>
          <w:rFonts w:cs="Times New Roman"/>
          <w:i/>
          <w:lang w:val="ro-RO"/>
        </w:rPr>
        <w:t>Complementaritatea dintre catafatism şi apofatism</w:t>
      </w:r>
    </w:p>
    <w:p w:rsidR="004D40C5" w:rsidRPr="00EA3B4B" w:rsidRDefault="004D40C5" w:rsidP="004D40C5">
      <w:pPr>
        <w:ind w:left="-567" w:right="-709" w:firstLine="851"/>
        <w:jc w:val="both"/>
        <w:rPr>
          <w:rFonts w:cs="Times New Roman"/>
          <w:lang w:val="ro-RO"/>
        </w:rPr>
      </w:pPr>
      <w:r w:rsidRPr="00EA3B4B">
        <w:rPr>
          <w:rFonts w:cs="Times New Roman"/>
          <w:lang w:val="ro-RO"/>
        </w:rPr>
        <w:t>Potrivit tradiţiei patristice, - scrie Părintele Stăniloae- există o cunoaştere a lui Dumnezeu, raţională sau catafatică şi una apofatică sau negrăită. Cea din urmă e superioară celei dintâi, completând-o pe aceea. Prin nici una din ele nu se cunoaşte însă Dumnezeu în fiinţa Lui</w:t>
      </w:r>
      <w:r w:rsidRPr="00EA3B4B">
        <w:rPr>
          <w:rStyle w:val="FootnoteReference"/>
          <w:rFonts w:cs="Times New Roman"/>
          <w:lang w:val="ro-RO"/>
        </w:rPr>
        <w:footnoteReference w:id="36"/>
      </w:r>
      <w:r w:rsidRPr="00EA3B4B">
        <w:rPr>
          <w:rFonts w:cs="Times New Roman"/>
          <w:lang w:val="ro-RO"/>
        </w:rPr>
        <w:t>. Dacă ar fi să facem o comparaţie cu artele, cunoaşterea catafatică ar corespunde picturii, iar cea apofatică sculpturii. Despre cea din urmă Sfântul Dionisie Areopagitul scrie: „În acest întuneric supraluminos dorim noi să ajungem şi să vedem şi să cunoaştem prin nevedere şi neştiinţă ceea ce e mai presus de vedere şi cunoştinţă, neputând fi văzut, nici cunoscut. Căci aceasta este a vedea şi cunoaşte cu adevărat; şi a lăuda în mod mai presus de fiinţă pe Cel mai presus de fiinţă, prin înlăturarea tuturor celor ce sunt. E aşa cum cei ce fac o statuie naturală, înlăturând toate acoperămintele aduse vederii curate a celui ascuns, descoperă, prin depărtarea aceasta, ceea ce e ascuns în el însuşi”</w:t>
      </w:r>
      <w:r w:rsidRPr="00EA3B4B">
        <w:rPr>
          <w:rStyle w:val="FootnoteReference"/>
          <w:rFonts w:cs="Times New Roman"/>
          <w:lang w:val="ro-RO"/>
        </w:rPr>
        <w:footnoteReference w:id="37"/>
      </w:r>
      <w:r w:rsidRPr="00EA3B4B">
        <w:rPr>
          <w:rFonts w:cs="Times New Roman"/>
          <w:lang w:val="ro-RO"/>
        </w:rPr>
        <w:t>.</w:t>
      </w:r>
    </w:p>
    <w:p w:rsidR="004D40C5" w:rsidRPr="00EA3B4B" w:rsidRDefault="004D40C5" w:rsidP="004D40C5">
      <w:pPr>
        <w:ind w:left="-567" w:right="-709" w:firstLine="851"/>
        <w:jc w:val="both"/>
        <w:rPr>
          <w:rStyle w:val="FootnoteCharacters"/>
          <w:rFonts w:cs="Times New Roman"/>
          <w:lang w:val="ro-RO"/>
        </w:rPr>
      </w:pPr>
      <w:r w:rsidRPr="00EA3B4B">
        <w:rPr>
          <w:rFonts w:cs="Times New Roman"/>
          <w:lang w:val="ro-RO"/>
        </w:rPr>
        <w:t xml:space="preserve">Cu toate că părintele Stăniloae afirmă că teologia apofatică este superioară celei catafatice (afirmative), „totuşi nu se poate renunţa nici la cunoaşterea raţională. Chiar dacă ceea ce spune ea despre Dumnezeu nu e cu totul adecvat, ea nu spune ceva contrar lui Dumnezeu”, mai mult, „chiar </w:t>
      </w:r>
      <w:r w:rsidRPr="00EA3B4B">
        <w:rPr>
          <w:rFonts w:cs="Times New Roman"/>
          <w:i/>
          <w:lang w:val="ro-RO"/>
        </w:rPr>
        <w:t xml:space="preserve">cunoaşterea apofatică, atunci când vrea cât de cât să se tălmăcească pe sine, trebuie să recurgă la termenii cunoaşterii intelectuale </w:t>
      </w:r>
      <w:r w:rsidRPr="00EA3B4B">
        <w:rPr>
          <w:rFonts w:cs="Times New Roman"/>
          <w:lang w:val="ro-RO"/>
        </w:rPr>
        <w:t>(s.n.), umplându-i însă mereu cu un înţeles mai adânc decât îl pot reda noţiunile intelectuale”</w:t>
      </w:r>
      <w:r w:rsidRPr="00EA3B4B">
        <w:rPr>
          <w:rStyle w:val="FootnoteReference"/>
          <w:rFonts w:cs="Times New Roman"/>
          <w:lang w:val="ro-RO"/>
        </w:rPr>
        <w:footnoteReference w:id="38"/>
      </w:r>
      <w:r w:rsidRPr="00EA3B4B">
        <w:rPr>
          <w:rFonts w:cs="Times New Roman"/>
          <w:lang w:val="ro-RO"/>
        </w:rPr>
        <w:t>. Teologul român a criticat poziţia teologului grec Ch. Yannaras, care, cu toate că remarca deosebirea dintre teologia negativă occidentală şi cea răsăriteană, şi încadra teologia negativă occidentală împreună cu cea afirmativă în teologia raţională a Occidentului, „nu atribuie nicio valoare teologiei afirmative, în vreme ce noi îi recunoaştem o anumită necesitate în exprimarea experienţei apofatice, deşi mereu cu conştiinţa insuficienţei ei”</w:t>
      </w:r>
      <w:r w:rsidRPr="00EA3B4B">
        <w:rPr>
          <w:rStyle w:val="FootnoteReference"/>
          <w:rFonts w:cs="Times New Roman"/>
          <w:lang w:val="ro-RO"/>
        </w:rPr>
        <w:footnoteReference w:id="3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Părintele Stăniloae pledează pentru </w:t>
      </w:r>
      <w:r w:rsidRPr="00EA3B4B">
        <w:rPr>
          <w:rFonts w:cs="Times New Roman"/>
          <w:i/>
          <w:lang w:val="ro-RO"/>
        </w:rPr>
        <w:t>complementaritatea</w:t>
      </w:r>
      <w:r w:rsidRPr="00EA3B4B">
        <w:rPr>
          <w:rFonts w:cs="Times New Roman"/>
          <w:lang w:val="ro-RO"/>
        </w:rPr>
        <w:t xml:space="preserve"> celor două moduri de cunoaştere a lui Dumnezeu: „Noi socotim că cele două feluri de cunoaştere nu se contrazic şi nu se exclud, ci se completează. Propriu-zis cea apofatică se completează cu cea negativ-raţională; ea transferă pe cea afirmativ- şi negativ- raţională pe un plan mai propriu, dar la rândul ei recurge la termenii cunoaşterii raţionale în ambele ei aspecte (afirmativ şi negativ), în trebuinţa de a se exprima fie şi într-un mod departe de a fi satisfăcător. Cel ce are o cunoaştere raţională a lui Dumnezeu şi o completează adeseori cu cea apofatică, iar cel ce are o mai accentuată experienţă apofatică recurge în exprimarea ei la termenii celei raţionale. De aceea, Părinţii orientali trec adeseori în vorbirea despre Dumnezeu de la una la alta”</w:t>
      </w:r>
      <w:r w:rsidRPr="00EA3B4B">
        <w:rPr>
          <w:rStyle w:val="FootnoteReference"/>
          <w:rFonts w:cs="Times New Roman"/>
          <w:lang w:val="ro-RO"/>
        </w:rPr>
        <w:footnoteReference w:id="40"/>
      </w:r>
      <w:r w:rsidRPr="00EA3B4B">
        <w:rPr>
          <w:rFonts w:cs="Times New Roman"/>
          <w:lang w:val="ro-RO"/>
        </w:rPr>
        <w:t xml:space="preserve">. </w:t>
      </w:r>
      <w:r w:rsidRPr="00EA3B4B">
        <w:rPr>
          <w:rFonts w:cs="Times New Roman"/>
          <w:lang w:val="ro-RO"/>
        </w:rPr>
        <w:lastRenderedPageBreak/>
        <w:t>Părintele oferă exemple în acest sens, care se constituie în adevărate argumente în favoarea îmbinării armonioase dintre catafatism şi apofatism.</w:t>
      </w:r>
    </w:p>
    <w:p w:rsidR="004D40C5" w:rsidRPr="00EA3B4B" w:rsidRDefault="004D40C5" w:rsidP="004D40C5">
      <w:pPr>
        <w:ind w:left="-567" w:right="-709" w:firstLine="851"/>
        <w:jc w:val="both"/>
        <w:rPr>
          <w:rFonts w:cs="Times New Roman"/>
          <w:lang w:val="ro-RO"/>
        </w:rPr>
      </w:pPr>
      <w:r w:rsidRPr="00EA3B4B">
        <w:rPr>
          <w:rFonts w:cs="Times New Roman"/>
          <w:lang w:val="ro-RO"/>
        </w:rPr>
        <w:t>Sfântul Grigorie Teologul consideră insuficientă cunoaşterea intelectuală a lui Dumnezeu, de aceea trebuie completată printr-o cunoaştere superioară, care înseamnă recunoaşterea tainei Lui. Dar apofatismul nu exclude catafatismul, Sfântul Grigorie Teologul le foloseşte alternativ în descrierea experienţei lui Moise. Transcenderea lucrurilor lumii nu înseamnă dispariţia acestora, „ci o ridicare prin ele dincolo de ele”</w:t>
      </w:r>
      <w:r w:rsidRPr="00EA3B4B">
        <w:rPr>
          <w:rStyle w:val="FootnoteReference"/>
          <w:rFonts w:cs="Times New Roman"/>
          <w:lang w:val="ro-RO"/>
        </w:rPr>
        <w:footnoteReference w:id="41"/>
      </w:r>
      <w:r w:rsidRPr="00EA3B4B">
        <w:rPr>
          <w:rFonts w:cs="Times New Roman"/>
          <w:lang w:val="ro-RO"/>
        </w:rPr>
        <w:t>. La fel, Sfântul Grigorie de Nyssa vorbeşte despre ambele moduri de cunoaştere uneori diferenţiindu-le, alteori îmbinându-le</w:t>
      </w:r>
      <w:r w:rsidRPr="00EA3B4B">
        <w:rPr>
          <w:rStyle w:val="FootnoteReference"/>
          <w:rFonts w:cs="Times New Roman"/>
          <w:lang w:val="ro-RO"/>
        </w:rPr>
        <w:footnoteReference w:id="42"/>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Chiar dacă Sfântul Dionisie Areopagitul este considerat ca cel care a accentuat cel mai pregnant cunoaşterea apofatică, „dacă citim cu atenţie scrierile lui, vedem că </w:t>
      </w:r>
      <w:r w:rsidRPr="00EA3B4B">
        <w:rPr>
          <w:rFonts w:cs="Times New Roman"/>
          <w:i/>
          <w:lang w:val="ro-RO"/>
        </w:rPr>
        <w:t>pretutindeni el îmbină cunoaşterea apofatică cu cea catafatică</w:t>
      </w:r>
      <w:r w:rsidRPr="00EA3B4B">
        <w:rPr>
          <w:rFonts w:cs="Times New Roman"/>
          <w:lang w:val="ro-RO"/>
        </w:rPr>
        <w:t xml:space="preserve"> (s.n.). Aceasta pentru că el vorbeşte despre un progres duhovnicesc al celui ce cunoaşte pe Dumnezeu. De aceea, el nu vede în cunoaşterea exprimabilă o sumă de afirmaţii intelectuale, pe de o parte pozitive, pe de alta negative, cum a practicat aceste două moduri de cunoaştere teologia scolastică; ci, în primul rând, o cunoaştere experimentală care numai în exprimare recurge la termenii afirmativi şi negativi, întrucât în ceea ce se cunoaşte despre Dumnezeu se implică în acelaşi timp conştiinţa misterului Lui. Numai prin socotinţa că Dionisie Areopagitul desparte cunoaşterea exprimabilă de cea apofatică, teologii catolici au putut reproşa tradiţiei răsăritene că şi-a însuşit numai teologia apofatică a lui Dionisie şi anume ca o teologie negativă intelectuală”</w:t>
      </w:r>
      <w:r w:rsidRPr="00EA3B4B">
        <w:rPr>
          <w:rStyle w:val="FootnoteReference"/>
          <w:rFonts w:cs="Times New Roman"/>
          <w:lang w:val="ro-RO"/>
        </w:rPr>
        <w:footnoteReference w:id="43"/>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Teologia prin negaţii este diferită de teologia mistică sau de apofatism. Pe de o parte teologia prin negaţii, concept similar al </w:t>
      </w:r>
      <w:r w:rsidRPr="00EA3B4B">
        <w:rPr>
          <w:rFonts w:cs="Times New Roman"/>
          <w:i/>
          <w:lang w:val="ro-RO"/>
        </w:rPr>
        <w:t xml:space="preserve">via negativa </w:t>
      </w:r>
      <w:r w:rsidRPr="00EA3B4B">
        <w:rPr>
          <w:rFonts w:cs="Times New Roman"/>
          <w:lang w:val="ro-RO"/>
        </w:rPr>
        <w:t>din Occident, neagă faptul că Dumnezeu ar fi cognoscibil şi afirmă eşecului intelectual. Pe de altă parte, apofatismul sau teologia mistică în sensul răsăritean, este teologia experienţei directe a lui Dumnezeu, care nu poate fi exprimată total în termeni pozitivi. „Prin cunoaşterea apofatică, subiectul uman nu numai ştie că Dumnezeu este infinit, ci şi experiază aceasta”</w:t>
      </w:r>
      <w:r w:rsidRPr="00EA3B4B">
        <w:rPr>
          <w:rStyle w:val="FootnoteReference"/>
          <w:rFonts w:cs="Times New Roman"/>
          <w:lang w:val="ro-RO"/>
        </w:rPr>
        <w:footnoteReference w:id="44"/>
      </w:r>
      <w:r w:rsidRPr="00EA3B4B">
        <w:rPr>
          <w:rFonts w:cs="Times New Roman"/>
          <w:lang w:val="ro-RO"/>
        </w:rPr>
        <w:t>. Cele cunoscute prin vederea luminii necreate trebuie comunicate, dar numai în termeni antinomici. Deşi este dincolo de cunoaştere şi concepte, acest gen de experienţă devine o sursă de cunoaştere. Negaţia se referă mereu la ceea ce s-a afirmat. De fapt, apofatismul „atunci când vrea cât de cât să se tălmăcească pe sine, trebuie să recurgă la termenii cunoaşterii intelectuale, umplându-i însă mereu cu un înţeles mai adânc decât îl pot reda noţiunile intelectuale”</w:t>
      </w:r>
      <w:r w:rsidRPr="00EA3B4B">
        <w:rPr>
          <w:rStyle w:val="FootnoteReference"/>
          <w:rFonts w:cs="Times New Roman"/>
          <w:lang w:val="ro-RO"/>
        </w:rPr>
        <w:footnoteReference w:id="45"/>
      </w:r>
      <w:r w:rsidRPr="00EA3B4B">
        <w:rPr>
          <w:rFonts w:cs="Times New Roman"/>
          <w:lang w:val="ro-RO"/>
        </w:rPr>
        <w:t>.</w:t>
      </w:r>
    </w:p>
    <w:p w:rsidR="004D40C5" w:rsidRPr="00EA3B4B" w:rsidRDefault="004D40C5" w:rsidP="004D40C5">
      <w:pPr>
        <w:ind w:left="-567" w:right="-709" w:firstLine="851"/>
        <w:jc w:val="both"/>
        <w:rPr>
          <w:rFonts w:cs="Times New Roman"/>
          <w:i/>
          <w:lang w:val="ro-RO"/>
        </w:rPr>
      </w:pPr>
      <w:r w:rsidRPr="00EA3B4B">
        <w:rPr>
          <w:rFonts w:cs="Times New Roman"/>
          <w:i/>
          <w:lang w:val="ro-RO"/>
        </w:rPr>
        <w:t>Deosebiri între catafatism şi apofatism</w:t>
      </w:r>
    </w:p>
    <w:p w:rsidR="004D40C5" w:rsidRPr="00EA3B4B" w:rsidRDefault="004D40C5" w:rsidP="004D40C5">
      <w:pPr>
        <w:ind w:left="-567" w:right="-709" w:firstLine="851"/>
        <w:jc w:val="both"/>
        <w:rPr>
          <w:rFonts w:cs="Times New Roman"/>
          <w:lang w:val="ro-RO"/>
        </w:rPr>
      </w:pPr>
      <w:r w:rsidRPr="00EA3B4B">
        <w:rPr>
          <w:rFonts w:cs="Times New Roman"/>
          <w:lang w:val="ro-RO"/>
        </w:rPr>
        <w:t>Există însă câteva diferenţe clare între cele două moduri de cunoaştere. Mai întâi, în relaţie cu lumea, cunoaşterea apofatică depăşeşte cunoaşterea raţională deoarece „cunoaşterea afirmativ-raţională e legată totdeauna de lume, care e un termen reţinut în gândirea celui ce cunoaşte pe Dumnezeu prin deducţie, în calitate de cauză a lumii, investit cu atribute asemănătoare ei”, în timp ce în cunoaşterea apofatică sufletul e absorbit de sesizarea prezenţei lui Dumnezeu”</w:t>
      </w:r>
      <w:r w:rsidRPr="00EA3B4B">
        <w:rPr>
          <w:rStyle w:val="FootnoteReference"/>
          <w:rFonts w:cs="Times New Roman"/>
          <w:lang w:val="ro-RO"/>
        </w:rPr>
        <w:footnoteReference w:id="46"/>
      </w:r>
      <w:r w:rsidRPr="00EA3B4B">
        <w:rPr>
          <w:rFonts w:cs="Times New Roman"/>
          <w:lang w:val="ro-RO"/>
        </w:rPr>
        <w:t>, fapt ce i-a făcut pe Părinţii orientali să vorbească uneori de o uitare a lumii în cursul acestui act.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În al doilea rând, în cunoaşterea apofatică, subiectul uman trăieşte prezenţa lui Dumnezeu ca persoană într-un mod mai presant, nu ca urmare a unei judecăţi raţionale, ca în cunoaşterea intelectuală, catafatică sau negativă, ci ca sesizare într-o stare de fină sensibilitate duhovnicească, ce nu se produce atât timp cât omul e stăpânit de plăcerile trupeşti, de pasiunile de orice fel. Necesitatea purificării de patimi, arată că apofatismul înseamnă cunoaştere prin experienţă. De aceea, Părinţii răsăriteni numesc această apropiere de Dumnezeu mai mult </w:t>
      </w:r>
      <w:r w:rsidRPr="00EA3B4B">
        <w:rPr>
          <w:rFonts w:cs="Times New Roman"/>
          <w:i/>
          <w:lang w:val="ro-RO"/>
        </w:rPr>
        <w:t>unire</w:t>
      </w:r>
      <w:r w:rsidRPr="00EA3B4B">
        <w:rPr>
          <w:rFonts w:cs="Times New Roman"/>
          <w:lang w:val="ro-RO"/>
        </w:rPr>
        <w:t xml:space="preserve"> decât</w:t>
      </w:r>
      <w:r w:rsidRPr="00EA3B4B">
        <w:rPr>
          <w:rFonts w:cs="Times New Roman"/>
          <w:i/>
          <w:lang w:val="ro-RO"/>
        </w:rPr>
        <w:t xml:space="preserve"> cunoaştere. </w:t>
      </w:r>
      <w:r w:rsidRPr="00EA3B4B">
        <w:rPr>
          <w:rFonts w:cs="Times New Roman"/>
          <w:lang w:val="ro-RO"/>
        </w:rPr>
        <w:t>În această cunoaştere apofatică experimentală, pe de o parte Dumnezeu este sesizat; pe de alta, ceea ce este sesizat trimite la ceva dincolo de orice sesizare. Ambele se exprimă tot prin termeni de teologie afirmativă şi negativă</w:t>
      </w:r>
      <w:r w:rsidRPr="00EA3B4B">
        <w:rPr>
          <w:rStyle w:val="FootnoteReference"/>
          <w:rFonts w:cs="Times New Roman"/>
          <w:lang w:val="ro-RO"/>
        </w:rPr>
        <w:footnoteReference w:id="47"/>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lastRenderedPageBreak/>
        <w:t>De fapt, persoana nu poate fi restrânsă şi dominată prin cunoaştere, deoarece este în general şi prin excelenţă apofatică, depăşind existenţa sesizabilă direct</w:t>
      </w:r>
      <w:r w:rsidRPr="00EA3B4B">
        <w:rPr>
          <w:rStyle w:val="FootnoteReference"/>
          <w:rFonts w:cs="Times New Roman"/>
          <w:lang w:val="ro-RO"/>
        </w:rPr>
        <w:footnoteReference w:id="48"/>
      </w:r>
      <w:r w:rsidRPr="00EA3B4B">
        <w:rPr>
          <w:rFonts w:cs="Times New Roman"/>
          <w:lang w:val="ro-RO"/>
        </w:rPr>
        <w:t>. În acest context este redat un text foarte sugestiv din opera Sfântului Grigorie Teologul:</w:t>
      </w:r>
    </w:p>
    <w:p w:rsidR="004D40C5" w:rsidRPr="00EA3B4B" w:rsidRDefault="004D40C5" w:rsidP="004D40C5">
      <w:pPr>
        <w:ind w:left="-567" w:right="-709" w:firstLine="851"/>
        <w:jc w:val="both"/>
        <w:rPr>
          <w:rFonts w:cs="Times New Roman"/>
          <w:lang w:val="ro-RO"/>
        </w:rPr>
      </w:pPr>
      <w:r w:rsidRPr="00EA3B4B">
        <w:rPr>
          <w:rFonts w:cs="Times New Roman"/>
          <w:lang w:val="ro-RO"/>
        </w:rPr>
        <w:t>„Mie mi se pare că, prin ceea ce e sesizat, mă atrage spre El (căci Cel total nesesizat nu dă nicio nădejde şi nici un ajutor); iar prin ceea ce e nesesizat îmi stoarce admiraţia; iar admirat fiind, e dorit din nou; iar dorit fiind, ne curăţeşte; iar curăţindu-ne, ne dă chip dumnezeiesc; iar devenind astfel, vorbeşte cu noi ca şi cu casnicii Lui; ba cuvântul cutează să spună ceva îndrăzneţ: Dumnezeu Se uneşte cu dumnezei şi e cunoscut de ei, şi anume atâta cât îi cunoaşte El pe cei ce-L cunosc. Deci Dumnezeu e infinit şi anevoie de contemplat. Şi numai aceasta se sesizează din El: infinitatea”</w:t>
      </w:r>
      <w:r w:rsidRPr="00EA3B4B">
        <w:rPr>
          <w:rStyle w:val="FootnoteReference"/>
          <w:rFonts w:cs="Times New Roman"/>
          <w:lang w:val="ro-RO"/>
        </w:rPr>
        <w:footnoteReference w:id="4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Cunoaşterea apofatică nu e iraţională, ci supra-raţională, căci Fiul lui Dumnezeu e Logosul, având în El raţiunile tuturor creaturilor. Dar e supraraţională, aşa cum persoana este supraraţională, ca subiect al raţiunii, al unei vieţi care îşi are totdeauna un sens</w:t>
      </w:r>
      <w:r w:rsidRPr="00EA3B4B">
        <w:rPr>
          <w:rStyle w:val="FootnoteReference"/>
          <w:rFonts w:cs="Times New Roman"/>
          <w:lang w:val="ro-RO"/>
        </w:rPr>
        <w:footnoteReference w:id="50"/>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În al treilea rând, părintele Stăniloae observă că pe măsură ce omul progresează în viaţa duhovnicească, cunoaşterea intelectuală despre Dumnezeu dedusă din lume, se îmbibă de contemplarea Lui directă mai bogată, adică de cunoaşterea apofatică. Acesta ar fi un alt motiv pentru care Părinţii alternează adeseori folosirea celor două metode de cunoaştere. Chiar dacă catafatismul este copleşit de apofatism, aceasta nu înseamnă excluderea celui dintâi.</w:t>
      </w:r>
    </w:p>
    <w:p w:rsidR="004D40C5" w:rsidRPr="00EA3B4B" w:rsidRDefault="004D40C5" w:rsidP="004D40C5">
      <w:pPr>
        <w:ind w:left="-567" w:right="-709" w:firstLine="851"/>
        <w:jc w:val="both"/>
        <w:rPr>
          <w:rFonts w:cs="Times New Roman"/>
          <w:i/>
          <w:lang w:val="ro-RO"/>
        </w:rPr>
      </w:pPr>
      <w:r w:rsidRPr="00EA3B4B">
        <w:rPr>
          <w:rFonts w:cs="Times New Roman"/>
          <w:i/>
          <w:lang w:val="ro-RO"/>
        </w:rPr>
        <w:t>Treptele apofatismului</w:t>
      </w:r>
    </w:p>
    <w:p w:rsidR="004D40C5" w:rsidRPr="00EA3B4B" w:rsidRDefault="004D40C5" w:rsidP="004D40C5">
      <w:pPr>
        <w:ind w:left="-567" w:right="-709" w:firstLine="567"/>
        <w:jc w:val="both"/>
        <w:rPr>
          <w:rFonts w:cs="Times New Roman"/>
          <w:lang w:val="ro-RO"/>
        </w:rPr>
      </w:pPr>
      <w:r w:rsidRPr="00EA3B4B">
        <w:rPr>
          <w:rFonts w:cs="Times New Roman"/>
          <w:lang w:val="ro-RO"/>
        </w:rPr>
        <w:t>Pentru a exprima atât unirea mistică cu Dumnezeu, cât şi totala alteritate a lui Dumnezeu, părintele Stăniloae introduce, pe de o parte conceptul celor</w:t>
      </w:r>
      <w:r w:rsidRPr="00EA3B4B">
        <w:rPr>
          <w:rFonts w:cs="Times New Roman"/>
          <w:i/>
          <w:lang w:val="ro-RO"/>
        </w:rPr>
        <w:t xml:space="preserve"> două tipuri de apofatism</w:t>
      </w:r>
      <w:r w:rsidRPr="00EA3B4B">
        <w:rPr>
          <w:rFonts w:cs="Times New Roman"/>
          <w:lang w:val="ro-RO"/>
        </w:rPr>
        <w:t xml:space="preserve">, iar pe de alta vorbeşte de cele </w:t>
      </w:r>
      <w:r w:rsidRPr="00EA3B4B">
        <w:rPr>
          <w:rFonts w:cs="Times New Roman"/>
          <w:i/>
          <w:lang w:val="ro-RO"/>
        </w:rPr>
        <w:t>trei trepte ale apofatismului</w:t>
      </w:r>
      <w:r w:rsidRPr="00EA3B4B">
        <w:rPr>
          <w:rFonts w:cs="Times New Roman"/>
          <w:lang w:val="ro-RO"/>
        </w:rPr>
        <w:t>. „Putem spune că există două apofatisme: apofatismul a ceea ce se experiează, dar nu se poate defini, şi apofatismul a ceea ce nu se poate nici măcar experia. Ele sunt simultane. Ceea ce se experiază are şi un caracter inteligibil, întrucât se exprimă totuşi în termeni intelectuali afirmativi şi negativi. Dar această inteligibilitate este mereu insuficientă. Fiinţa care rămâne dincolo de experienţă, dar pe care o simţim ca izvor a tot ce experiem, subzistă în persoană”</w:t>
      </w:r>
      <w:r w:rsidRPr="00EA3B4B">
        <w:rPr>
          <w:rStyle w:val="FootnoteReference"/>
          <w:rFonts w:cs="Times New Roman"/>
          <w:lang w:val="ro-RO"/>
        </w:rPr>
        <w:footnoteReference w:id="51"/>
      </w:r>
      <w:r w:rsidRPr="00EA3B4B">
        <w:rPr>
          <w:rFonts w:cs="Times New Roman"/>
          <w:lang w:val="ro-RO"/>
        </w:rPr>
        <w:t>.</w:t>
      </w:r>
    </w:p>
    <w:p w:rsidR="004D40C5" w:rsidRPr="00EA3B4B" w:rsidRDefault="004D40C5" w:rsidP="004D40C5">
      <w:pPr>
        <w:ind w:left="-567" w:right="-709" w:firstLine="851"/>
        <w:jc w:val="both"/>
        <w:rPr>
          <w:rFonts w:cs="Times New Roman"/>
          <w:b/>
          <w:lang w:val="ro-RO"/>
        </w:rPr>
      </w:pPr>
      <w:r w:rsidRPr="00EA3B4B">
        <w:rPr>
          <w:rFonts w:cs="Times New Roman"/>
          <w:lang w:val="ro-RO"/>
        </w:rPr>
        <w:t>Părinţii răsăriteni au accentuat mereu persoana, nu fiinţa, cum s-a întâmplat în scolastică</w:t>
      </w:r>
      <w:r w:rsidRPr="00EA3B4B">
        <w:rPr>
          <w:rStyle w:val="FootnoteReference"/>
          <w:rFonts w:cs="Times New Roman"/>
          <w:lang w:val="ro-RO"/>
        </w:rPr>
        <w:footnoteReference w:id="52"/>
      </w:r>
      <w:r w:rsidRPr="00EA3B4B">
        <w:rPr>
          <w:rFonts w:cs="Times New Roman"/>
          <w:lang w:val="ro-RO"/>
        </w:rPr>
        <w:t>. Persoanele Sfintei Treimi nu au aceeaşi fiinţă, ci sunt aceeaşi fiinţă: „</w:t>
      </w:r>
      <w:r w:rsidRPr="00EA3B4B">
        <w:rPr>
          <w:rFonts w:cs="Times New Roman"/>
          <w:i/>
          <w:lang w:val="ro-RO"/>
        </w:rPr>
        <w:t xml:space="preserve">Eu sunt Cel ce sunt” </w:t>
      </w:r>
      <w:r w:rsidRPr="00EA3B4B">
        <w:rPr>
          <w:rFonts w:cs="Times New Roman"/>
          <w:lang w:val="ro-RO"/>
        </w:rPr>
        <w:t>(Ieș. 3, 14). Prin urmare, nici „apofatismul, care nu se poate nici măcar experia”, având „ca ultimă bază persoana”, nu generează un pesimism theognosic, deoarece persoana transcende natura, Se împărtăşeşte prin lucrare, este prezentă sensibil în lucrare. „Nici acest apofatic nu înseamnă o totală închidere a lui Dumnezeu în El Însuşi”</w:t>
      </w:r>
      <w:r w:rsidRPr="00EA3B4B">
        <w:rPr>
          <w:rStyle w:val="FootnoteReference"/>
          <w:rFonts w:cs="Times New Roman"/>
          <w:lang w:val="ro-RO"/>
        </w:rPr>
        <w:footnoteReference w:id="53"/>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Conciliul al IV-lea Lateran (1215) a adoptat şi oficializat formula potrivit căreia între Creator şi creaturi nu este posibilă definirea unei asemănări, fără ca să fie presupusă o încă şi mai mare neasemănare între El şi acestea: </w:t>
      </w:r>
      <w:r w:rsidRPr="00EA3B4B">
        <w:rPr>
          <w:rFonts w:cs="Times New Roman"/>
          <w:i/>
          <w:lang w:val="ro-RO"/>
        </w:rPr>
        <w:t>„Quia inter Creatorem et creaturam non potest similitudo notari, quim inter eos maior sit dissimilitudo notanda”</w:t>
      </w:r>
      <w:r w:rsidRPr="00EA3B4B">
        <w:rPr>
          <w:rStyle w:val="FootnoteReference"/>
          <w:rFonts w:cs="Times New Roman"/>
          <w:i/>
          <w:lang w:val="ro-RO"/>
        </w:rPr>
        <w:footnoteReference w:id="54"/>
      </w:r>
      <w:r w:rsidRPr="00EA3B4B">
        <w:rPr>
          <w:rFonts w:cs="Times New Roman"/>
          <w:i/>
          <w:lang w:val="ro-RO"/>
        </w:rPr>
        <w:t>.</w:t>
      </w:r>
      <w:r w:rsidRPr="00EA3B4B">
        <w:rPr>
          <w:rFonts w:cs="Times New Roman"/>
          <w:lang w:val="ro-RO"/>
        </w:rPr>
        <w:t xml:space="preserve"> Potrivit scolasticilor, lumea creată are o anumită asemănare analogică cu Creatorul, asemănare ce presupune şi o anumită neasemănare analogică. Ceea ce noi numim „transcendenţa” lui Dumnezeu, este o „transcendere” a categoriilor care determină realitatea naturală, dar această transcendere presupune oricum o neasemănare analogică între Dumnezeu şi lume</w:t>
      </w:r>
      <w:r w:rsidRPr="00EA3B4B">
        <w:rPr>
          <w:rStyle w:val="FootnoteReference"/>
          <w:rFonts w:cs="Times New Roman"/>
          <w:lang w:val="ro-RO"/>
        </w:rPr>
        <w:footnoteReference w:id="55"/>
      </w:r>
      <w:r w:rsidRPr="00EA3B4B">
        <w:rPr>
          <w:rFonts w:cs="Times New Roman"/>
          <w:lang w:val="ro-RO"/>
        </w:rPr>
        <w:t xml:space="preserve">. Consacrată de </w:t>
      </w:r>
      <w:r w:rsidRPr="00EA3B4B">
        <w:rPr>
          <w:rFonts w:cs="Times New Roman"/>
          <w:lang w:val="ro-RO"/>
        </w:rPr>
        <w:lastRenderedPageBreak/>
        <w:t xml:space="preserve">Toma de Aquino: </w:t>
      </w:r>
      <w:r w:rsidRPr="00EA3B4B">
        <w:rPr>
          <w:rFonts w:cs="Times New Roman"/>
          <w:i/>
          <w:lang w:val="ro-RO"/>
        </w:rPr>
        <w:t>„de Deo scire non possumus quid sit, sed quid non sit”</w:t>
      </w:r>
      <w:r w:rsidRPr="00EA3B4B">
        <w:rPr>
          <w:rStyle w:val="FootnoteReference"/>
          <w:rFonts w:cs="Times New Roman"/>
          <w:i/>
          <w:lang w:val="ro-RO"/>
        </w:rPr>
        <w:footnoteReference w:id="56"/>
      </w:r>
      <w:r w:rsidRPr="00EA3B4B">
        <w:rPr>
          <w:rFonts w:cs="Times New Roman"/>
          <w:lang w:val="ro-RO"/>
        </w:rPr>
        <w:t>, teologia negaţiilor va intra în manualele tradiţionale romano-catolice</w:t>
      </w:r>
      <w:r w:rsidRPr="00EA3B4B">
        <w:rPr>
          <w:rStyle w:val="FootnoteReference"/>
          <w:rFonts w:cs="Times New Roman"/>
          <w:lang w:val="ro-RO"/>
        </w:rPr>
        <w:footnoteReference w:id="57"/>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Pentru Părintele Stăniloae, teologia negativă este o operaţie mentală, corelativă contemplării lui Dumnezeu în natură, istorie, Scriptură, artă şi dogmă, având ca rezultat constatarea limitei oricărei concluzii. Dar, subliniază M.P. Bengzos, trebuie să se facă distincţie clară între </w:t>
      </w:r>
      <w:r w:rsidRPr="00EA3B4B">
        <w:rPr>
          <w:rFonts w:cs="Times New Roman"/>
          <w:i/>
          <w:lang w:val="ro-RO"/>
        </w:rPr>
        <w:t>theologia negativă</w:t>
      </w:r>
      <w:r w:rsidRPr="00EA3B4B">
        <w:rPr>
          <w:rFonts w:cs="Times New Roman"/>
          <w:lang w:val="ro-RO"/>
        </w:rPr>
        <w:t xml:space="preserve"> a Bisericii Apusene şi teologia apofatică</w:t>
      </w:r>
      <w:r w:rsidRPr="00EA3B4B">
        <w:rPr>
          <w:rStyle w:val="FootnoteReference"/>
          <w:rFonts w:cs="Times New Roman"/>
          <w:lang w:val="ro-RO"/>
        </w:rPr>
        <w:footnoteReference w:id="58"/>
      </w:r>
      <w:r w:rsidRPr="00EA3B4B">
        <w:rPr>
          <w:rFonts w:cs="Times New Roman"/>
          <w:lang w:val="ro-RO"/>
        </w:rPr>
        <w:t xml:space="preserve"> a Bisericii Răsăritene. Teologia apofatică nu înseamnă o definiţie a lui Dumnezeu, pozitivă sau negativă. A vorbi în mod apofatic despre Dumnezeu înseamnă transcenderea tuturor atributelor Sale, a celor afirmate şi a celor negate. Denumirea adecvată pentru apofatism nu este </w:t>
      </w:r>
      <w:r w:rsidRPr="00EA3B4B">
        <w:rPr>
          <w:rFonts w:cs="Times New Roman"/>
          <w:i/>
          <w:lang w:val="ro-RO"/>
        </w:rPr>
        <w:t>theologia</w:t>
      </w:r>
      <w:r w:rsidRPr="00EA3B4B">
        <w:rPr>
          <w:rFonts w:cs="Times New Roman"/>
          <w:lang w:val="ro-RO"/>
        </w:rPr>
        <w:t xml:space="preserve"> </w:t>
      </w:r>
      <w:r w:rsidRPr="00EA3B4B">
        <w:rPr>
          <w:rFonts w:cs="Times New Roman"/>
          <w:i/>
          <w:lang w:val="ro-RO"/>
        </w:rPr>
        <w:t>negativă</w:t>
      </w:r>
      <w:r w:rsidRPr="00EA3B4B">
        <w:rPr>
          <w:rFonts w:cs="Times New Roman"/>
          <w:lang w:val="ro-RO"/>
        </w:rPr>
        <w:t xml:space="preserve"> (prin care se neagă), ci </w:t>
      </w:r>
      <w:r w:rsidRPr="00EA3B4B">
        <w:rPr>
          <w:rFonts w:cs="Times New Roman"/>
          <w:i/>
          <w:lang w:val="ro-RO"/>
        </w:rPr>
        <w:t>theologia</w:t>
      </w:r>
      <w:r w:rsidRPr="00EA3B4B">
        <w:rPr>
          <w:rFonts w:cs="Times New Roman"/>
          <w:lang w:val="ro-RO"/>
        </w:rPr>
        <w:t xml:space="preserve"> </w:t>
      </w:r>
      <w:r w:rsidRPr="00EA3B4B">
        <w:rPr>
          <w:rFonts w:cs="Times New Roman"/>
          <w:i/>
          <w:lang w:val="ro-RO"/>
        </w:rPr>
        <w:t>superlativă</w:t>
      </w:r>
      <w:r w:rsidRPr="00EA3B4B">
        <w:rPr>
          <w:rFonts w:cs="Times New Roman"/>
          <w:lang w:val="ro-RO"/>
        </w:rPr>
        <w:t xml:space="preserve"> (prin care se transcende); de aceea este preferat prefixul </w:t>
      </w:r>
      <w:r w:rsidRPr="00EA3B4B">
        <w:rPr>
          <w:rFonts w:cs="Times New Roman"/>
          <w:i/>
          <w:lang w:val="ro-RO"/>
        </w:rPr>
        <w:t>hyper-dincolo</w:t>
      </w:r>
      <w:r w:rsidRPr="00EA3B4B">
        <w:rPr>
          <w:rStyle w:val="FootnoteReference"/>
          <w:rFonts w:cs="Times New Roman"/>
          <w:i/>
          <w:lang w:val="ro-RO"/>
        </w:rPr>
        <w:footnoteReference w:id="59"/>
      </w:r>
      <w:r w:rsidRPr="00EA3B4B">
        <w:rPr>
          <w:rFonts w:cs="Times New Roman"/>
          <w:lang w:val="ro-RO"/>
        </w:rPr>
        <w:t xml:space="preserve">, atribuindu-se „ignorării a ceea ce este Dumnezeu în natura Lui inaccesibilă valoarea unei cunoaşteri mistice </w:t>
      </w:r>
      <w:r w:rsidRPr="00EA3B4B">
        <w:rPr>
          <w:rFonts w:cs="Times New Roman"/>
          <w:i/>
          <w:lang w:val="ro-RO"/>
        </w:rPr>
        <w:t>dincolo</w:t>
      </w:r>
      <w:r w:rsidRPr="00EA3B4B">
        <w:rPr>
          <w:rFonts w:cs="Times New Roman"/>
          <w:lang w:val="ro-RO"/>
        </w:rPr>
        <w:t xml:space="preserve"> de intelect (</w:t>
      </w:r>
      <w:r w:rsidRPr="00EA3B4B">
        <w:rPr>
          <w:rFonts w:cs="Times New Roman"/>
          <w:i/>
          <w:lang w:val="ro-RO"/>
        </w:rPr>
        <w:t>hyper noun</w:t>
      </w:r>
      <w:r w:rsidRPr="00EA3B4B">
        <w:rPr>
          <w:rFonts w:cs="Times New Roman"/>
          <w:lang w:val="ro-RO"/>
        </w:rPr>
        <w:t>)”</w:t>
      </w:r>
      <w:r w:rsidRPr="00EA3B4B">
        <w:rPr>
          <w:rStyle w:val="FootnoteReference"/>
          <w:rFonts w:cs="Times New Roman"/>
          <w:lang w:val="ro-RO"/>
        </w:rPr>
        <w:footnoteReference w:id="60"/>
      </w:r>
      <w:r w:rsidRPr="00EA3B4B">
        <w:rPr>
          <w:rFonts w:cs="Times New Roman"/>
          <w:lang w:val="ro-RO"/>
        </w:rPr>
        <w:t>.</w:t>
      </w:r>
      <w:r w:rsidRPr="00EA3B4B">
        <w:rPr>
          <w:rFonts w:cs="Times New Roman"/>
          <w:i/>
          <w:lang w:val="ro-RO"/>
        </w:rPr>
        <w:t xml:space="preserve"> </w:t>
      </w:r>
      <w:r w:rsidRPr="00EA3B4B">
        <w:rPr>
          <w:rFonts w:cs="Times New Roman"/>
          <w:lang w:val="ro-RO"/>
        </w:rPr>
        <w:t>În acest sens, Sfântul Dionisie Areopagitul scrie:</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„Iarăşi urcând, spunem că dumnezeirea nu e nici suflet, nici minte…, nici unul, nici unitate, nici dumnezeire, nici bunătate, nici duh, cum îl cunoaştem noi… . Ci făcând afirmaţiile şi negaţiile celor de după ele, nici nu o afirmăm, nici nu o negăm pe ea. Fiindcă este mai presus de toată afirmarea, ca cea care e cauza unică a tuturor; şi mai presus de toată negaţia, ca cea care le depăşeşte pe toate, care e simplu dezlegată de toate şi </w:t>
      </w:r>
      <w:r w:rsidRPr="00EA3B4B">
        <w:rPr>
          <w:rFonts w:cs="Times New Roman"/>
          <w:i/>
          <w:lang w:val="ro-RO"/>
        </w:rPr>
        <w:t>dincolo</w:t>
      </w:r>
      <w:r w:rsidRPr="00EA3B4B">
        <w:rPr>
          <w:rFonts w:cs="Times New Roman"/>
          <w:lang w:val="ro-RO"/>
        </w:rPr>
        <w:t xml:space="preserve"> de toate”</w:t>
      </w:r>
      <w:r w:rsidRPr="00EA3B4B">
        <w:rPr>
          <w:rStyle w:val="FootnoteReference"/>
          <w:rFonts w:cs="Times New Roman"/>
          <w:lang w:val="ro-RO"/>
        </w:rPr>
        <w:footnoteReference w:id="61"/>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Există diverse modalităţi de exprimare a apofatismului</w:t>
      </w:r>
      <w:r w:rsidRPr="00EA3B4B">
        <w:rPr>
          <w:rStyle w:val="FootnoteReference"/>
          <w:rFonts w:cs="Times New Roman"/>
          <w:lang w:val="ro-RO"/>
        </w:rPr>
        <w:footnoteReference w:id="62"/>
      </w:r>
      <w:r w:rsidRPr="00EA3B4B">
        <w:rPr>
          <w:rFonts w:cs="Times New Roman"/>
          <w:lang w:val="ro-RO"/>
        </w:rPr>
        <w:t xml:space="preserve">. Înainte de Sfântul Simeon Noul Teolog, au folosit terminologia apofatică mai ales Clement al Alexandriei, Sfântul Grigorie de Nyssa, Sfântul Dionisie Areopagitul şi Sfântul Maxim Mărturisitorul. Se vor reda în continuare câteva expresii apofatice din opera dionisiană: </w:t>
      </w:r>
      <w:r w:rsidRPr="00EA3B4B">
        <w:rPr>
          <w:rFonts w:cs="Times New Roman"/>
          <w:i/>
          <w:lang w:val="ro-RO"/>
        </w:rPr>
        <w:t>agnostos</w:t>
      </w:r>
      <w:r w:rsidRPr="00EA3B4B">
        <w:rPr>
          <w:rFonts w:cs="Times New Roman"/>
          <w:lang w:val="ro-RO"/>
        </w:rPr>
        <w:t xml:space="preserve"> (necunoscut), </w:t>
      </w:r>
      <w:r w:rsidRPr="00EA3B4B">
        <w:rPr>
          <w:rFonts w:cs="Times New Roman"/>
          <w:i/>
          <w:lang w:val="ro-RO"/>
        </w:rPr>
        <w:t>akataleptos</w:t>
      </w:r>
      <w:r w:rsidRPr="00EA3B4B">
        <w:rPr>
          <w:rFonts w:cs="Times New Roman"/>
          <w:lang w:val="ro-RO"/>
        </w:rPr>
        <w:t xml:space="preserve"> (incomensurabil), </w:t>
      </w:r>
      <w:r w:rsidRPr="00EA3B4B">
        <w:rPr>
          <w:rFonts w:cs="Times New Roman"/>
          <w:i/>
          <w:lang w:val="ro-RO"/>
        </w:rPr>
        <w:t xml:space="preserve">akatonomastos </w:t>
      </w:r>
      <w:r w:rsidRPr="00EA3B4B">
        <w:rPr>
          <w:rFonts w:cs="Times New Roman"/>
          <w:lang w:val="ro-RO"/>
        </w:rPr>
        <w:t xml:space="preserve">(nenumit), </w:t>
      </w:r>
      <w:r w:rsidRPr="00EA3B4B">
        <w:rPr>
          <w:rFonts w:cs="Times New Roman"/>
          <w:i/>
          <w:lang w:val="ro-RO"/>
        </w:rPr>
        <w:t>aleptos</w:t>
      </w:r>
      <w:r w:rsidRPr="00EA3B4B">
        <w:rPr>
          <w:rFonts w:cs="Times New Roman"/>
          <w:lang w:val="ro-RO"/>
        </w:rPr>
        <w:t xml:space="preserve"> (inaccesibil), </w:t>
      </w:r>
      <w:r w:rsidRPr="00EA3B4B">
        <w:rPr>
          <w:rFonts w:cs="Times New Roman"/>
          <w:i/>
          <w:lang w:val="ro-RO"/>
        </w:rPr>
        <w:t>amethektos</w:t>
      </w:r>
      <w:r w:rsidRPr="00EA3B4B">
        <w:rPr>
          <w:rFonts w:cs="Times New Roman"/>
          <w:lang w:val="ro-RO"/>
        </w:rPr>
        <w:t xml:space="preserve"> (imparticipabil), </w:t>
      </w:r>
      <w:r w:rsidRPr="00EA3B4B">
        <w:rPr>
          <w:rFonts w:cs="Times New Roman"/>
          <w:i/>
          <w:lang w:val="ro-RO"/>
        </w:rPr>
        <w:t>anonymos</w:t>
      </w:r>
      <w:r w:rsidRPr="00EA3B4B">
        <w:rPr>
          <w:rFonts w:cs="Times New Roman"/>
          <w:lang w:val="ro-RO"/>
        </w:rPr>
        <w:t xml:space="preserve"> (fără nume), </w:t>
      </w:r>
      <w:r w:rsidRPr="00EA3B4B">
        <w:rPr>
          <w:rFonts w:cs="Times New Roman"/>
          <w:i/>
          <w:lang w:val="ro-RO"/>
        </w:rPr>
        <w:t>aoratos</w:t>
      </w:r>
      <w:r w:rsidRPr="00EA3B4B">
        <w:rPr>
          <w:rFonts w:cs="Times New Roman"/>
          <w:lang w:val="ro-RO"/>
        </w:rPr>
        <w:t xml:space="preserve"> (invizibil), </w:t>
      </w:r>
      <w:r w:rsidRPr="00EA3B4B">
        <w:rPr>
          <w:rFonts w:cs="Times New Roman"/>
          <w:i/>
          <w:lang w:val="ro-RO"/>
        </w:rPr>
        <w:t xml:space="preserve">apeiros </w:t>
      </w:r>
      <w:r w:rsidRPr="00EA3B4B">
        <w:rPr>
          <w:rFonts w:cs="Times New Roman"/>
          <w:lang w:val="ro-RO"/>
        </w:rPr>
        <w:t xml:space="preserve">(nelimitat), </w:t>
      </w:r>
      <w:r w:rsidRPr="00EA3B4B">
        <w:rPr>
          <w:rFonts w:cs="Times New Roman"/>
          <w:i/>
          <w:lang w:val="ro-RO"/>
        </w:rPr>
        <w:t xml:space="preserve">hyperagathos </w:t>
      </w:r>
      <w:r w:rsidRPr="00EA3B4B">
        <w:rPr>
          <w:rFonts w:cs="Times New Roman"/>
          <w:lang w:val="ro-RO"/>
        </w:rPr>
        <w:t xml:space="preserve">(supra-bun), </w:t>
      </w:r>
      <w:r w:rsidRPr="00EA3B4B">
        <w:rPr>
          <w:rFonts w:cs="Times New Roman"/>
          <w:i/>
          <w:lang w:val="ro-RO"/>
        </w:rPr>
        <w:t xml:space="preserve">hyperagnostos </w:t>
      </w:r>
      <w:r w:rsidRPr="00EA3B4B">
        <w:rPr>
          <w:rFonts w:cs="Times New Roman"/>
          <w:lang w:val="ro-RO"/>
        </w:rPr>
        <w:t xml:space="preserve">(supra necunoscut), </w:t>
      </w:r>
      <w:r w:rsidRPr="00EA3B4B">
        <w:rPr>
          <w:rFonts w:cs="Times New Roman"/>
          <w:i/>
          <w:lang w:val="ro-RO"/>
        </w:rPr>
        <w:t>hyperarretos</w:t>
      </w:r>
      <w:r w:rsidRPr="00EA3B4B">
        <w:rPr>
          <w:rFonts w:cs="Times New Roman"/>
          <w:lang w:val="ro-RO"/>
        </w:rPr>
        <w:t xml:space="preserve"> (supra-inefabil), </w:t>
      </w:r>
      <w:r w:rsidRPr="00EA3B4B">
        <w:rPr>
          <w:rFonts w:cs="Times New Roman"/>
          <w:i/>
          <w:lang w:val="ro-RO"/>
        </w:rPr>
        <w:t xml:space="preserve">hyperousios </w:t>
      </w:r>
      <w:r w:rsidRPr="00EA3B4B">
        <w:rPr>
          <w:rFonts w:cs="Times New Roman"/>
          <w:lang w:val="ro-RO"/>
        </w:rPr>
        <w:t xml:space="preserve">(supra-existent), </w:t>
      </w:r>
      <w:r w:rsidRPr="00EA3B4B">
        <w:rPr>
          <w:rFonts w:cs="Times New Roman"/>
          <w:i/>
          <w:lang w:val="ro-RO"/>
        </w:rPr>
        <w:t>hyperphotos</w:t>
      </w:r>
      <w:r w:rsidRPr="00EA3B4B">
        <w:rPr>
          <w:rFonts w:cs="Times New Roman"/>
          <w:lang w:val="ro-RO"/>
        </w:rPr>
        <w:t xml:space="preserve"> (supra-luminos), şi chiar </w:t>
      </w:r>
      <w:r w:rsidRPr="00EA3B4B">
        <w:rPr>
          <w:rFonts w:cs="Times New Roman"/>
          <w:i/>
          <w:lang w:val="ro-RO"/>
        </w:rPr>
        <w:t>hypertheon</w:t>
      </w:r>
      <w:r w:rsidRPr="00EA3B4B">
        <w:rPr>
          <w:rFonts w:cs="Times New Roman"/>
          <w:lang w:val="ro-RO"/>
        </w:rPr>
        <w:t xml:space="preserve"> (supra-Dumnezeu). Foloseşte adesea oximoronul, de exemplu „</w:t>
      </w:r>
      <w:r w:rsidRPr="00EA3B4B">
        <w:rPr>
          <w:rFonts w:cs="Times New Roman"/>
          <w:i/>
          <w:lang w:val="ro-RO"/>
        </w:rPr>
        <w:t>întuneric supra-luminos</w:t>
      </w:r>
      <w:r w:rsidRPr="00EA3B4B">
        <w:rPr>
          <w:rFonts w:cs="Times New Roman"/>
          <w:lang w:val="ro-RO"/>
        </w:rPr>
        <w:t>”, „</w:t>
      </w:r>
      <w:r w:rsidRPr="00EA3B4B">
        <w:rPr>
          <w:rFonts w:cs="Times New Roman"/>
          <w:i/>
          <w:lang w:val="ro-RO"/>
        </w:rPr>
        <w:t>existenţă</w:t>
      </w:r>
      <w:r w:rsidRPr="00EA3B4B">
        <w:rPr>
          <w:rFonts w:cs="Times New Roman"/>
          <w:lang w:val="ro-RO"/>
        </w:rPr>
        <w:t xml:space="preserve"> </w:t>
      </w:r>
      <w:r w:rsidRPr="00EA3B4B">
        <w:rPr>
          <w:rFonts w:cs="Times New Roman"/>
          <w:i/>
          <w:lang w:val="ro-RO"/>
        </w:rPr>
        <w:t>supra</w:t>
      </w:r>
      <w:r w:rsidRPr="00EA3B4B">
        <w:rPr>
          <w:rFonts w:cs="Times New Roman"/>
          <w:lang w:val="ro-RO"/>
        </w:rPr>
        <w:t>-</w:t>
      </w:r>
      <w:r w:rsidRPr="00EA3B4B">
        <w:rPr>
          <w:rFonts w:cs="Times New Roman"/>
          <w:i/>
          <w:lang w:val="ro-RO"/>
        </w:rPr>
        <w:t xml:space="preserve">existentă”, </w:t>
      </w:r>
      <w:r w:rsidRPr="00EA3B4B">
        <w:rPr>
          <w:rFonts w:cs="Times New Roman"/>
          <w:lang w:val="ro-RO"/>
        </w:rPr>
        <w:t xml:space="preserve">şi </w:t>
      </w:r>
      <w:r w:rsidRPr="00EA3B4B">
        <w:rPr>
          <w:rFonts w:cs="Times New Roman"/>
          <w:lang w:val="ro-RO"/>
        </w:rPr>
        <w:lastRenderedPageBreak/>
        <w:t>expresii paradoxale, cum ar fi: „</w:t>
      </w:r>
      <w:r w:rsidRPr="00EA3B4B">
        <w:rPr>
          <w:rFonts w:cs="Times New Roman"/>
          <w:i/>
          <w:lang w:val="ro-RO"/>
        </w:rPr>
        <w:t xml:space="preserve">fiind numit rămâne inexprimabil, şi fiind înţeles rămâne necunoscut </w:t>
      </w:r>
      <w:r w:rsidRPr="00EA3B4B">
        <w:rPr>
          <w:rFonts w:cs="Times New Roman"/>
          <w:lang w:val="ro-RO"/>
        </w:rPr>
        <w:t>„</w:t>
      </w:r>
      <w:r w:rsidRPr="00EA3B4B">
        <w:rPr>
          <w:rFonts w:cs="Times New Roman"/>
          <w:i/>
          <w:lang w:val="ro-RO"/>
        </w:rPr>
        <w:t>a vedea şi a înţelege prin nevedere şi neînţelegere</w:t>
      </w:r>
      <w:r w:rsidRPr="00EA3B4B">
        <w:rPr>
          <w:rFonts w:cs="Times New Roman"/>
          <w:lang w:val="ro-RO"/>
        </w:rPr>
        <w:t>”</w:t>
      </w:r>
      <w:r w:rsidRPr="00EA3B4B">
        <w:rPr>
          <w:rStyle w:val="FootnoteReference"/>
          <w:rFonts w:cs="Times New Roman"/>
          <w:lang w:val="ro-RO"/>
        </w:rPr>
        <w:footnoteReference w:id="63"/>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Urmând această tradiţie, Părintele Stăniloae foloseşte expresii ca: </w:t>
      </w:r>
      <w:r w:rsidRPr="00EA3B4B">
        <w:rPr>
          <w:rFonts w:cs="Times New Roman"/>
          <w:i/>
          <w:lang w:val="ro-RO"/>
        </w:rPr>
        <w:t>supraesenţă</w:t>
      </w:r>
      <w:r w:rsidRPr="00EA3B4B">
        <w:rPr>
          <w:rFonts w:cs="Times New Roman"/>
          <w:lang w:val="ro-RO"/>
        </w:rPr>
        <w:t xml:space="preserve">, </w:t>
      </w:r>
      <w:r w:rsidRPr="00EA3B4B">
        <w:rPr>
          <w:rFonts w:cs="Times New Roman"/>
          <w:i/>
          <w:lang w:val="ro-RO"/>
        </w:rPr>
        <w:t>supraspaţialitate</w:t>
      </w:r>
      <w:r w:rsidRPr="00EA3B4B">
        <w:rPr>
          <w:rFonts w:cs="Times New Roman"/>
          <w:lang w:val="ro-RO"/>
        </w:rPr>
        <w:t>,</w:t>
      </w:r>
      <w:r w:rsidRPr="00EA3B4B">
        <w:rPr>
          <w:rFonts w:cs="Times New Roman"/>
          <w:i/>
          <w:lang w:val="ro-RO"/>
        </w:rPr>
        <w:t xml:space="preserve"> suprasfinţenie. </w:t>
      </w:r>
      <w:r w:rsidRPr="00EA3B4B">
        <w:rPr>
          <w:rFonts w:cs="Times New Roman"/>
          <w:lang w:val="ro-RO"/>
        </w:rPr>
        <w:t>Dar astfel de expresii nu rămân abstracte, deoarece atunci când abordează tema atributelor dumnezeieşti (când foloseşte, de fapt, aceşti termeni), scrie întotdeauna şi despre participarea creaturii la acestea.</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Adevărul lui Dumnezeu nu se poate epuiza prin formularea sa. „Apofatismul Răsăritului grecesc nu se mărgineşte la negaţii, el presupune atât cunoaşterea afirmativă naturală, cât şi, totodată, negarea ei, presupune adică </w:t>
      </w:r>
      <w:r w:rsidRPr="00EA3B4B">
        <w:rPr>
          <w:rFonts w:cs="Times New Roman"/>
          <w:i/>
          <w:lang w:val="ro-RO"/>
        </w:rPr>
        <w:t xml:space="preserve">renunţarea </w:t>
      </w:r>
      <w:r w:rsidRPr="00EA3B4B">
        <w:rPr>
          <w:rFonts w:cs="Times New Roman"/>
          <w:lang w:val="ro-RO"/>
        </w:rPr>
        <w:t>la orice pretenţie de îngheţare şi obiectivare a adevărului în definiţii raţionaliste”</w:t>
      </w:r>
      <w:r w:rsidRPr="00EA3B4B">
        <w:rPr>
          <w:rStyle w:val="FootnoteReference"/>
          <w:rFonts w:cs="Times New Roman"/>
          <w:lang w:val="ro-RO"/>
        </w:rPr>
        <w:footnoteReference w:id="64"/>
      </w:r>
      <w:r w:rsidRPr="00EA3B4B">
        <w:rPr>
          <w:rFonts w:cs="Times New Roman"/>
          <w:lang w:val="ro-RO"/>
        </w:rPr>
        <w:t xml:space="preserve">. Vl. Lossky semnala pericolul neînţelegerii sensului adânc al apofatismului, unii putându-l confunda cu agnosticismul. „Ne vom întreba dacă apofaza lui Dionisie, care pare o depăşire a Trinităţii, nu presupune un aspect al divinităţii care va fi superior Dumnezeului personal al tradiţiei iudeo-creştine. Şi pentru că apofaza este un bun comun al gândirii religioase, căci o găsim tot aşa de bine în India ca şi la neoplatonicii greci sau, mai târziu, în mistica musulmană, am avea dreptul să vedem în metoda negativă dionisiană consacrarea unei supremaţii a misticii naturale asupra teologiei revelate. Un sincretism mistic s-ar aşeza atunci deasupra credinţei Bisericii, iar altarul păgân al lui </w:t>
      </w:r>
      <w:r w:rsidRPr="00EA3B4B">
        <w:rPr>
          <w:rFonts w:cs="Times New Roman"/>
          <w:i/>
          <w:lang w:val="ro-RO"/>
        </w:rPr>
        <w:t>Theos agnostos</w:t>
      </w:r>
      <w:r w:rsidRPr="00EA3B4B">
        <w:rPr>
          <w:rFonts w:cs="Times New Roman"/>
          <w:lang w:val="ro-RO"/>
        </w:rPr>
        <w:t xml:space="preserve"> ar rămâne superior altarului creştin al unui Dumnezeu revelat, Cel care a fost predicat de Sfântul Ap. Pavel în Areopag”</w:t>
      </w:r>
      <w:r w:rsidRPr="00EA3B4B">
        <w:rPr>
          <w:rStyle w:val="FootnoteReference"/>
          <w:rFonts w:cs="Times New Roman"/>
          <w:lang w:val="ro-RO"/>
        </w:rPr>
        <w:footnoteReference w:id="65"/>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Pentru a evita acest pericol, Părintele Stăniloae a accentuat, după cum s-a arătat </w:t>
      </w:r>
      <w:r w:rsidRPr="00EA3B4B">
        <w:rPr>
          <w:rFonts w:cs="Times New Roman"/>
          <w:i/>
          <w:lang w:val="ro-RO"/>
        </w:rPr>
        <w:t>supra,</w:t>
      </w:r>
      <w:r w:rsidRPr="00EA3B4B">
        <w:rPr>
          <w:rFonts w:cs="Times New Roman"/>
          <w:lang w:val="ro-RO"/>
        </w:rPr>
        <w:t xml:space="preserve"> importanţa </w:t>
      </w:r>
      <w:r w:rsidRPr="00EA3B4B">
        <w:rPr>
          <w:rFonts w:cs="Times New Roman"/>
          <w:i/>
          <w:lang w:val="ro-RO"/>
        </w:rPr>
        <w:t>unirii</w:t>
      </w:r>
      <w:r w:rsidRPr="00EA3B4B">
        <w:rPr>
          <w:rFonts w:cs="Times New Roman"/>
          <w:lang w:val="ro-RO"/>
        </w:rPr>
        <w:t xml:space="preserve"> </w:t>
      </w:r>
      <w:r w:rsidRPr="00EA3B4B">
        <w:rPr>
          <w:rFonts w:cs="Times New Roman"/>
          <w:i/>
          <w:lang w:val="ro-RO"/>
        </w:rPr>
        <w:t>ipostatice</w:t>
      </w:r>
      <w:r w:rsidRPr="00EA3B4B">
        <w:rPr>
          <w:rFonts w:cs="Times New Roman"/>
          <w:lang w:val="ro-RO"/>
        </w:rPr>
        <w:t xml:space="preserve"> pentru gnoseologia teologică creştină, şi a dezvoltat trei trepte sau trei grade ale apofatismului.</w:t>
      </w:r>
    </w:p>
    <w:p w:rsidR="004D40C5" w:rsidRPr="00EA3B4B" w:rsidRDefault="004D40C5" w:rsidP="004D40C5">
      <w:pPr>
        <w:ind w:left="-567" w:right="-709" w:firstLine="851"/>
        <w:jc w:val="both"/>
        <w:rPr>
          <w:rFonts w:cs="Times New Roman"/>
          <w:b/>
          <w:i/>
          <w:lang w:val="ro-RO"/>
        </w:rPr>
      </w:pPr>
      <w:r w:rsidRPr="00EA3B4B">
        <w:rPr>
          <w:rFonts w:cs="Times New Roman"/>
          <w:b/>
          <w:i/>
          <w:lang w:val="ro-RO"/>
        </w:rPr>
        <w:t>A. Apofatismul teologiei negative intelectuale</w:t>
      </w:r>
    </w:p>
    <w:p w:rsidR="004D40C5" w:rsidRPr="00EA3B4B" w:rsidRDefault="004D40C5" w:rsidP="004D40C5">
      <w:pPr>
        <w:ind w:left="-567" w:right="-709" w:firstLine="851"/>
        <w:jc w:val="both"/>
        <w:rPr>
          <w:rFonts w:cs="Times New Roman"/>
          <w:lang w:val="ro-RO"/>
        </w:rPr>
      </w:pPr>
    </w:p>
    <w:p w:rsidR="004D40C5" w:rsidRPr="00EA3B4B" w:rsidRDefault="004D40C5" w:rsidP="004D40C5">
      <w:pPr>
        <w:ind w:left="-567" w:right="-709" w:firstLine="851"/>
        <w:jc w:val="both"/>
        <w:rPr>
          <w:rFonts w:cs="Times New Roman"/>
          <w:lang w:val="ro-RO"/>
        </w:rPr>
      </w:pPr>
      <w:r w:rsidRPr="00EA3B4B">
        <w:rPr>
          <w:rFonts w:cs="Times New Roman"/>
          <w:lang w:val="ro-RO"/>
        </w:rPr>
        <w:t>Teologia negativă intelectuală este prima formă de apofatism</w:t>
      </w:r>
      <w:r w:rsidRPr="00EA3B4B">
        <w:rPr>
          <w:rStyle w:val="FootnoteReference"/>
          <w:rFonts w:cs="Times New Roman"/>
          <w:lang w:val="ro-RO"/>
        </w:rPr>
        <w:footnoteReference w:id="66"/>
      </w:r>
      <w:r w:rsidRPr="00EA3B4B">
        <w:rPr>
          <w:rFonts w:cs="Times New Roman"/>
          <w:lang w:val="ro-RO"/>
        </w:rPr>
        <w:t>. Această teologie este încă o operaţie mentală, fiind în relaţie cu contemplarea lui Dumnezeu prin natură, prin istorie, prin Sfânta Scriptură, prin artă, prin dogme şi, în general, prin tot ce este la mijloc între noi şi Dumnezeu, fie ca realitate externă, fie ca sistem de concepte şi de imagini simbolice. Este încă o operaţie raţională, fiind o exactă cântărire a fiecărui concept, ale cărui margini abia acum apar minţii în toată claritatea</w:t>
      </w:r>
      <w:r w:rsidRPr="00EA3B4B">
        <w:rPr>
          <w:rStyle w:val="FootnoteReference"/>
          <w:rFonts w:cs="Times New Roman"/>
          <w:lang w:val="ro-RO"/>
        </w:rPr>
        <w:footnoteReference w:id="67"/>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Părintele Stăniloae insistă şi aici asupra dinamicii raportului dintre teologia negativă şi cea afirmativă, „nu există teologie afirmativă fără cea negativă, deoarece energiile divine se manifestă prin şi în natura creată. Dumnezeu este persoană, Subiectul suprem, care ia iniţiativa să se facă cunoscut. El nu e o substanţă închisă, necomunicabilă. Energiile divine sunt o formă de autodescoperire a lui Dumnezeu”</w:t>
      </w:r>
      <w:r w:rsidRPr="00EA3B4B">
        <w:rPr>
          <w:rStyle w:val="FootnoteReference"/>
          <w:rFonts w:cs="Times New Roman"/>
          <w:lang w:val="ro-RO"/>
        </w:rPr>
        <w:footnoteReference w:id="68"/>
      </w:r>
      <w:r w:rsidRPr="00EA3B4B">
        <w:rPr>
          <w:rFonts w:cs="Times New Roman"/>
          <w:lang w:val="ro-RO"/>
        </w:rPr>
        <w:t xml:space="preserve">. Părintele Dumitru Stăniloae respinge devalorizarea teologiei pozitive, afirmative: „Teologia negativă are nevoie de termenii pozitivi pentru a-i nega. Şi cu cât sunt aceştia mai înalţi, mai subtili, cu atât exprimă nu numai prin ei înşişi ceva din bogăţia puterii şi imaginaţiei lui Dumnezeu care a creat realităţile exprimate prin ei, ci prilejuiesc şi prin negarea lor o icoană (în negativ) a măreţiei divine care e mai presus şi de ei. Teologia negativă nu justifică o lene a spiritului, o abdicare de la raţiune, ci pretinde o continuă înălţare a schelelor raţiunii, pentru ca de pe trepte tot mai înalte nemărginirea oceanului divin să ne apară într-o viziune care să ne înfioare tot mai mult. Teologia negativă, departe de a pretinde renunţarea pentru totdeauna la conceptele raţionale, e dornică de o sporire a lor. Ea e punctul supra-raţional al neobositelor încordări ale raţiunii care nu trebuie să-şi sfârşească nicicând cercetările ei asupra naturii, vieţii omeneşti, Scripturii. Orice progres în cunoaşterea proceselor fizice, biologice, spiritual-umane din sânul creaţiunii, înseamnă o nouă treaptă pe schela de pe care teologia negativă, mânată de o simţire a minţii, îşi aruncă o </w:t>
      </w:r>
      <w:r w:rsidRPr="00EA3B4B">
        <w:rPr>
          <w:rFonts w:cs="Times New Roman"/>
          <w:lang w:val="ro-RO"/>
        </w:rPr>
        <w:lastRenderedPageBreak/>
        <w:t>ochire şi mai adâncă şi mai cuprinzătoare în nemărginirea divină, care, în acelaşi timp, ea însăşi face posibilă înălţarea continuă a acestei schele”</w:t>
      </w:r>
      <w:r w:rsidRPr="00EA3B4B">
        <w:rPr>
          <w:rStyle w:val="FootnoteReference"/>
          <w:rFonts w:cs="Times New Roman"/>
          <w:lang w:val="ro-RO"/>
        </w:rPr>
        <w:footnoteReference w:id="6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Părintele profesor Ion Bria sintetiza astfel problematica acestui paragraf:</w:t>
      </w:r>
    </w:p>
    <w:p w:rsidR="004D40C5" w:rsidRPr="00EA3B4B" w:rsidRDefault="004D40C5" w:rsidP="004D40C5">
      <w:pPr>
        <w:ind w:left="-567" w:right="-709" w:firstLine="851"/>
        <w:jc w:val="both"/>
        <w:rPr>
          <w:rFonts w:cs="Times New Roman"/>
          <w:lang w:val="ro-RO"/>
        </w:rPr>
      </w:pPr>
      <w:r w:rsidRPr="00EA3B4B">
        <w:rPr>
          <w:rFonts w:cs="Times New Roman"/>
          <w:lang w:val="ro-RO"/>
        </w:rPr>
        <w:t>„Anume pentru că este o meditaţie asupra misterului lui Dumnezeu ca centru al existenţei, teologia este şi un punct de referinţă pentru istoria şi cultura umană. Teologia oferă filosofiei alte valori, transcendente, decât istoria însăşi, ca de pildă sfinţenia sau transfigurarea creaţiei şi a relaţiilor inter-umane, după modelul divin. Acesta este un proces etern, de aceea, pentru teologie, istoria umană nu sfârşeşte cu organizarea ideală a societăţii. Desigur, teologia nu are o putere absolută, dar prin aceasta se doreşte să se ofere o altă dimensiune existenţei umane, pe care nu o poate da cultura, limitată la etică, sociologie, ştiinţă şi artă. Părintele Dumitru Stăniloae vrea să spună că religia, Biserica, teologia nu sunt doar simple mijloace în serviciul unui scop social, ci organe de revelare a unei alte realităţi. El a constatat că acolo unde creşte teologia se dezvoltă şi filosofia.</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Părintele Dumitru Stăniloae deosebeşte teologia negativă, adică negarea cognoscibilităţii lui Dumnezeu, sau conştiinţa neputinţei intelectului de a exprima fiinţa divină, de apofatism, adică de teologia mistică, a simţirii şi experienţei directe a lui Dumnezeu, care nu poate fi expusă total în termeni pozitivi. Contemplarea nemijlocită a Raţiunii supreme, sânul tuturor raţiunilor create, este mai mult decât teologia negativă. Spre deosebire de Vladimir Lossky, cel care precizase acest punct, anume că apofatismul este altceva decât teologia negativă intelectuală, Părintele Stăniloae consideră că apofatismul are şi el mai multe trepte. Vl. Lossky se opreşte la apofatism în sensul de cunoaştere a necunoaşterii lui Dumnezeu. Părintele Dumitru Stăniloae vrea să evite impresia că teologia apofatică se limitează la incognoscibilitatea absolută a lui Dumnezeu. Desigur, fiinţa lui Dumnezeu este mai presus de orice concept sau imagine definită. Sfântul Grigorie Palama (1296-1359) vorbeşte totuşi de </w:t>
      </w:r>
      <w:r w:rsidRPr="00EA3B4B">
        <w:rPr>
          <w:rFonts w:cs="Times New Roman"/>
          <w:i/>
          <w:lang w:val="ro-RO"/>
        </w:rPr>
        <w:t>vedere</w:t>
      </w:r>
      <w:r w:rsidRPr="00EA3B4B">
        <w:rPr>
          <w:rFonts w:cs="Times New Roman"/>
          <w:lang w:val="ro-RO"/>
        </w:rPr>
        <w:t xml:space="preserve">, de </w:t>
      </w:r>
      <w:r w:rsidRPr="00EA3B4B">
        <w:rPr>
          <w:rFonts w:cs="Times New Roman"/>
          <w:i/>
          <w:lang w:val="ro-RO"/>
        </w:rPr>
        <w:t>participare</w:t>
      </w:r>
      <w:r w:rsidRPr="00EA3B4B">
        <w:rPr>
          <w:rFonts w:cs="Times New Roman"/>
          <w:lang w:val="ro-RO"/>
        </w:rPr>
        <w:t xml:space="preserve"> sau </w:t>
      </w:r>
      <w:r w:rsidRPr="00EA3B4B">
        <w:rPr>
          <w:rFonts w:cs="Times New Roman"/>
          <w:i/>
          <w:lang w:val="ro-RO"/>
        </w:rPr>
        <w:t>experiere</w:t>
      </w:r>
      <w:r w:rsidRPr="00EA3B4B">
        <w:rPr>
          <w:rFonts w:cs="Times New Roman"/>
          <w:lang w:val="ro-RO"/>
        </w:rPr>
        <w:t xml:space="preserve"> a luminii dumnezeieşti, care au ceva pozitiv. Există deci în apofatism un element de cunoaştere, nu numai de absenţă de cunoaştere. Iluminarea şi glorificarea de care vorbesc Părinţii răsăriteni nu trebuie să se confunde cu misticismul neo-platonic. Teologia negativă, care presupune o operaţie mentală de a înlătura de la Dumnezeu orice atribut pozitiv, se deosebeşte de simţirea apofatică, experierea în lumina necreată a prezenţei lui Dumnezeu. Aici actul raţional [cognitiv] îşi schimbă structura. Mintea (</w:t>
      </w:r>
      <w:r w:rsidRPr="00EA3B4B">
        <w:rPr>
          <w:rFonts w:cs="Times New Roman"/>
          <w:i/>
          <w:lang w:val="ro-RO"/>
        </w:rPr>
        <w:t>nous</w:t>
      </w:r>
      <w:r w:rsidRPr="00EA3B4B">
        <w:rPr>
          <w:rFonts w:cs="Times New Roman"/>
          <w:lang w:val="ro-RO"/>
        </w:rPr>
        <w:t>) este cea care face această eliminare a tot ceea ce închide vederea lui Dumnezeu”</w:t>
      </w:r>
      <w:r w:rsidRPr="00EA3B4B">
        <w:rPr>
          <w:rStyle w:val="FootnoteReference"/>
          <w:rFonts w:cs="Times New Roman"/>
          <w:lang w:val="ro-RO"/>
        </w:rPr>
        <w:footnoteReference w:id="70"/>
      </w:r>
      <w:r w:rsidRPr="00EA3B4B">
        <w:rPr>
          <w:rFonts w:cs="Times New Roman"/>
          <w:lang w:val="ro-RO"/>
        </w:rPr>
        <w:t>.</w:t>
      </w:r>
    </w:p>
    <w:p w:rsidR="004D40C5" w:rsidRPr="00EA3B4B" w:rsidRDefault="004D40C5" w:rsidP="004D40C5">
      <w:pPr>
        <w:ind w:left="-567" w:right="-709"/>
        <w:jc w:val="both"/>
        <w:rPr>
          <w:rFonts w:cs="Times New Roman"/>
          <w:i/>
          <w:lang w:val="ro-RO"/>
        </w:rPr>
      </w:pPr>
    </w:p>
    <w:p w:rsidR="004D40C5" w:rsidRPr="00EA3B4B" w:rsidRDefault="004D40C5" w:rsidP="004D40C5">
      <w:pPr>
        <w:ind w:left="-567" w:right="-709" w:firstLine="851"/>
        <w:jc w:val="both"/>
        <w:rPr>
          <w:rFonts w:cs="Times New Roman"/>
          <w:b/>
          <w:i/>
          <w:lang w:val="ro-RO"/>
        </w:rPr>
      </w:pPr>
      <w:r w:rsidRPr="00EA3B4B">
        <w:rPr>
          <w:rFonts w:cs="Times New Roman"/>
          <w:b/>
          <w:i/>
          <w:lang w:val="ro-RO"/>
        </w:rPr>
        <w:t>B. Apofatismul de la capătul rugăciunii curate, odihna minţii sau apofatismul de gradul al doilea</w:t>
      </w:r>
    </w:p>
    <w:p w:rsidR="004D40C5" w:rsidRPr="00EA3B4B" w:rsidRDefault="004D40C5" w:rsidP="004D40C5">
      <w:pPr>
        <w:ind w:left="-567" w:right="-709" w:firstLine="851"/>
        <w:jc w:val="both"/>
        <w:rPr>
          <w:rFonts w:cs="Times New Roman"/>
          <w:i/>
          <w:lang w:val="ro-RO"/>
        </w:rPr>
      </w:pPr>
    </w:p>
    <w:p w:rsidR="004D40C5" w:rsidRPr="00EA3B4B" w:rsidRDefault="004D40C5" w:rsidP="004D40C5">
      <w:pPr>
        <w:ind w:left="-567" w:right="-709" w:firstLine="851"/>
        <w:jc w:val="both"/>
        <w:rPr>
          <w:rFonts w:cs="Times New Roman"/>
          <w:lang w:val="ro-RO"/>
        </w:rPr>
      </w:pPr>
      <w:r w:rsidRPr="00EA3B4B">
        <w:rPr>
          <w:rFonts w:cs="Times New Roman"/>
          <w:lang w:val="ro-RO"/>
        </w:rPr>
        <w:t>Atunci când sunt depăşite conceptele desprinse din natură şi chiar preocuparea de a le nega dispare, trecându-se dincolo de orice negaţie ca operaţie intelectuală, se ajunge la starea de tăcere produsă de rugăciune, care este al doilea grad de apofatism. E o simţire cu mult mai puternică, dar o simţire pe întuneric a energiilor divine, care a depăşit teologia negativă intelectuală şi simţirea apofatică ce o însoţeşte</w:t>
      </w:r>
      <w:r w:rsidRPr="00EA3B4B">
        <w:rPr>
          <w:rStyle w:val="FootnoteReference"/>
          <w:rFonts w:cs="Times New Roman"/>
          <w:lang w:val="ro-RO"/>
        </w:rPr>
        <w:footnoteReference w:id="71"/>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Sfântul Grigorie Palama cunoaşte ca o treaptă superioară teologiei negative „un apofatism mai deplin şi mai existenţial”, realizat prin rugăciunea curată: „Deci lepădând mintea treptat aceste relaţii, ca şi pe cele cu lucruri mai înalte decât acestea, iese întreagă din toate cele ce sunt, în vremea rugăciunii curate. Această ieşire - </w:t>
      </w:r>
      <w:r w:rsidRPr="00EA3B4B">
        <w:rPr>
          <w:rFonts w:cs="Times New Roman"/>
          <w:i/>
          <w:lang w:val="ro-RO"/>
        </w:rPr>
        <w:t>ekstasis</w:t>
      </w:r>
      <w:r w:rsidRPr="00EA3B4B">
        <w:rPr>
          <w:rFonts w:cs="Times New Roman"/>
          <w:lang w:val="ro-RO"/>
        </w:rPr>
        <w:t xml:space="preserve"> este cu mult mai înaltă decât teologia prin negaţie. Ea e proprie numai celor ajunşi la nepătimire”</w:t>
      </w:r>
      <w:r w:rsidRPr="00EA3B4B">
        <w:rPr>
          <w:rStyle w:val="FootnoteReference"/>
          <w:rFonts w:cs="Times New Roman"/>
          <w:lang w:val="ro-RO"/>
        </w:rPr>
        <w:footnoteReference w:id="72"/>
      </w:r>
      <w:r w:rsidRPr="00EA3B4B">
        <w:rPr>
          <w:rFonts w:cs="Times New Roman"/>
          <w:lang w:val="ro-RO"/>
        </w:rPr>
        <w:t>. E un extaz al tăcerii interioare, o oprire totală a cugetării în faţa misterului dumnezeiesc, înainte de a coborî în mintea astfel oprită de uimire, lumina de sus.</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Părintele Stăniloae afirmă că rugăciunea cu adevărat desăvârşită este rugăciunea curată, posibilă doar atunci când mintea, în timp ce se roagă, poate alunga uşor şi pentru multă vreme orice gânduri, chiar şi pe cele nevinovate. La rugăciunea curată se ajunge după eliberarea de patimi şi lucrarea virtuţilor </w:t>
      </w:r>
      <w:r w:rsidRPr="00EA3B4B">
        <w:rPr>
          <w:rFonts w:cs="Times New Roman"/>
          <w:lang w:val="ro-RO"/>
        </w:rPr>
        <w:lastRenderedPageBreak/>
        <w:t>contrare lor, şi după ce mintea s-a ridicat de la contemplarea firii văzute şi de la lumea conceptelor, când mintea nu-şi mai face nicio imagine şi nici un concept. „De aceea socotim că rugăciunea curată se cunoaşte şi după faptul că nu mai are vreun obiect, ci, după ce a trecut peste toate în ordinea valorii lor tot mai înalte, mintea nu mai cere decât mila lui Dumnezeu, simţindu-L ca Stăpânul de a cărui milă atârnă”</w:t>
      </w:r>
      <w:r w:rsidRPr="00EA3B4B">
        <w:rPr>
          <w:rStyle w:val="FootnoteReference"/>
          <w:rFonts w:cs="Times New Roman"/>
          <w:lang w:val="ro-RO"/>
        </w:rPr>
        <w:footnoteReference w:id="73"/>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Există o strânsă legătură între </w:t>
      </w:r>
      <w:r w:rsidRPr="00EA3B4B">
        <w:rPr>
          <w:rFonts w:cs="Times New Roman"/>
          <w:i/>
          <w:lang w:val="ro-RO"/>
        </w:rPr>
        <w:t>theologia</w:t>
      </w:r>
      <w:r w:rsidRPr="00EA3B4B">
        <w:rPr>
          <w:rFonts w:cs="Times New Roman"/>
          <w:lang w:val="ro-RO"/>
        </w:rPr>
        <w:t xml:space="preserve"> şi rugăciunea curată: „mintea este răpită în avântul rugăciunii de lumina dumnezeiască şi nemărginită, şi nu se mai simte nici pe sine nici altceva din cele ce sunt, decât numai pe Cel ce lucrează în ea prin dragoste această iluminare. Atunci, mişcată fiind şi în jurul raţiunilor despre Dumnezeu, primeşte curate şi limpezi, arătările cu privire la El”</w:t>
      </w:r>
      <w:r w:rsidRPr="00EA3B4B">
        <w:rPr>
          <w:rStyle w:val="FootnoteReference"/>
          <w:rFonts w:cs="Times New Roman"/>
          <w:lang w:val="ro-RO"/>
        </w:rPr>
        <w:footnoteReference w:id="74"/>
      </w:r>
      <w:r w:rsidRPr="00EA3B4B">
        <w:rPr>
          <w:rFonts w:cs="Times New Roman"/>
          <w:lang w:val="ro-RO"/>
        </w:rPr>
        <w:t xml:space="preserve">. Pentru Sfântul Maxim Mărturisitorul, rugăciunea este „locul” privilegiat al </w:t>
      </w:r>
      <w:r w:rsidRPr="00EA3B4B">
        <w:rPr>
          <w:rFonts w:cs="Times New Roman"/>
          <w:i/>
          <w:lang w:val="ro-RO"/>
        </w:rPr>
        <w:t>theologiei,</w:t>
      </w:r>
      <w:r w:rsidRPr="00EA3B4B">
        <w:rPr>
          <w:rFonts w:cs="Times New Roman"/>
          <w:lang w:val="ro-RO"/>
        </w:rPr>
        <w:t xml:space="preserve"> deoarece prin rugăciunea curată misticul primeşte supra-cunoaşterea lui Dumnezeu</w:t>
      </w:r>
      <w:r w:rsidRPr="00EA3B4B">
        <w:rPr>
          <w:rStyle w:val="FootnoteReference"/>
          <w:rFonts w:cs="Times New Roman"/>
          <w:lang w:val="ro-RO"/>
        </w:rPr>
        <w:footnoteReference w:id="75"/>
      </w:r>
      <w:r w:rsidRPr="00EA3B4B">
        <w:rPr>
          <w:rFonts w:cs="Times New Roman"/>
          <w:lang w:val="ro-RO"/>
        </w:rPr>
        <w:t>. De fapt scopul ajungerii la rugăciunea curată este îndumnezeirea: „Harul rugăciunii uneşte mintea cu Dumnezeu. Iar unind-o cu Dumnezeu, o desface de toate înţelesurile. Atunci mintea întreţinându-se cu Dumnezeu, dezbrăcată de toate, ajunge să ia forma dumnezeiască”</w:t>
      </w:r>
      <w:r w:rsidRPr="00EA3B4B">
        <w:rPr>
          <w:rStyle w:val="FootnoteReference"/>
          <w:rFonts w:cs="Times New Roman"/>
          <w:lang w:val="ro-RO"/>
        </w:rPr>
        <w:footnoteReference w:id="76"/>
      </w:r>
      <w:r w:rsidRPr="00EA3B4B">
        <w:rPr>
          <w:rFonts w:cs="Times New Roman"/>
          <w:lang w:val="ro-RO"/>
        </w:rPr>
        <w:t>. Din acest ultim text, în care Sfântul Maxim reia definiţia evagriană a rugăciunii ca „întreţinere a minţii cu Dumnezeu”</w:t>
      </w:r>
      <w:r w:rsidRPr="00EA3B4B">
        <w:rPr>
          <w:rStyle w:val="FootnoteReference"/>
          <w:rFonts w:cs="Times New Roman"/>
          <w:lang w:val="ro-RO"/>
        </w:rPr>
        <w:footnoteReference w:id="77"/>
      </w:r>
      <w:r w:rsidRPr="00EA3B4B">
        <w:rPr>
          <w:rFonts w:cs="Times New Roman"/>
          <w:lang w:val="ro-RO"/>
        </w:rPr>
        <w:t xml:space="preserve">, se poate înţelege că îndumnezeirea nu se datorează doar faptului că </w:t>
      </w:r>
      <w:r w:rsidRPr="00EA3B4B">
        <w:rPr>
          <w:rFonts w:cs="Times New Roman"/>
          <w:i/>
          <w:lang w:val="ro-RO"/>
        </w:rPr>
        <w:t>nous</w:t>
      </w:r>
      <w:r w:rsidRPr="00EA3B4B">
        <w:rPr>
          <w:rFonts w:cs="Times New Roman"/>
          <w:lang w:val="ro-RO"/>
        </w:rPr>
        <w:t>-ul dobândeşte anumite calităţi care-l fac asemenea lui Dumnezeu, ci darului lui Dumnezeu care face posibilă o relaţie personală cu El.</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Potrivit Părintelui Stăniloae, două ar fi criteriile după care se evaluează progresul rugăciunii: </w:t>
      </w:r>
    </w:p>
    <w:p w:rsidR="004D40C5" w:rsidRPr="00EA3B4B" w:rsidRDefault="004D40C5" w:rsidP="004D40C5">
      <w:pPr>
        <w:ind w:left="-567" w:right="-709" w:firstLine="851"/>
        <w:jc w:val="both"/>
        <w:rPr>
          <w:rFonts w:cs="Times New Roman"/>
          <w:i/>
          <w:lang w:val="ro-RO"/>
        </w:rPr>
      </w:pPr>
      <w:r w:rsidRPr="00EA3B4B">
        <w:rPr>
          <w:rFonts w:cs="Times New Roman"/>
          <w:i/>
          <w:lang w:val="ro-RO"/>
        </w:rPr>
        <w:t>a) împuţinarea cuvintelor;</w:t>
      </w:r>
    </w:p>
    <w:p w:rsidR="004D40C5" w:rsidRPr="00EA3B4B" w:rsidRDefault="004D40C5" w:rsidP="004D40C5">
      <w:pPr>
        <w:ind w:left="-567" w:right="-709" w:firstLine="851"/>
        <w:jc w:val="both"/>
        <w:rPr>
          <w:rFonts w:cs="Times New Roman"/>
          <w:i/>
          <w:lang w:val="ro-RO"/>
        </w:rPr>
      </w:pPr>
      <w:r w:rsidRPr="00EA3B4B">
        <w:rPr>
          <w:rFonts w:cs="Times New Roman"/>
          <w:i/>
          <w:lang w:val="ro-RO"/>
        </w:rPr>
        <w:t>b) înmulţirea lacrimilor.</w:t>
      </w:r>
    </w:p>
    <w:p w:rsidR="004D40C5" w:rsidRPr="00EA3B4B" w:rsidRDefault="004D40C5" w:rsidP="004D40C5">
      <w:pPr>
        <w:ind w:left="-567" w:right="-709" w:firstLine="851"/>
        <w:jc w:val="both"/>
        <w:rPr>
          <w:rFonts w:cs="Times New Roman"/>
          <w:b/>
          <w:lang w:val="ro-RO"/>
        </w:rPr>
      </w:pPr>
      <w:r w:rsidRPr="00EA3B4B">
        <w:rPr>
          <w:rFonts w:cs="Times New Roman"/>
          <w:i/>
          <w:lang w:val="ro-RO"/>
        </w:rPr>
        <w:t>a)</w:t>
      </w:r>
      <w:r w:rsidRPr="00EA3B4B">
        <w:rPr>
          <w:rFonts w:cs="Times New Roman"/>
          <w:lang w:val="ro-RO"/>
        </w:rPr>
        <w:t xml:space="preserve"> Mintea va menţine doar câteva cuvinte adresate lui Iisus, adică pomenirea Lui stăruitoare, ca mijloc care o ajută să se strângă din împrăştiere. La Sf. Diadoh al Foticeii aceste cuvinte se reduc la două: „Doamne Iisuse”. Mai târziu s-au mai adăugat câteva: „Doamne Iisuse Hristoase, Fiul lui Dumnezeu, miluieşte-mă pe mine păcătosul”. Nu se exprimă o cerere parţială, deoarece aceasta ar da minţii un obiect, o formă definită, ci numai cererea generală a milei lui Hristos, sau simţirea necesităţii milei lui</w:t>
      </w:r>
      <w:r w:rsidRPr="00EA3B4B">
        <w:rPr>
          <w:rStyle w:val="FootnoteReference"/>
          <w:rFonts w:cs="Times New Roman"/>
          <w:lang w:val="ro-RO"/>
        </w:rPr>
        <w:footnoteReference w:id="78"/>
      </w:r>
      <w:r w:rsidRPr="00EA3B4B">
        <w:rPr>
          <w:rFonts w:cs="Times New Roman"/>
          <w:lang w:val="ro-RO"/>
        </w:rPr>
        <w:t>. Părintele Stăniloae prezintă pe larg această temă</w:t>
      </w:r>
      <w:r w:rsidRPr="00EA3B4B">
        <w:rPr>
          <w:rStyle w:val="FootnoteReference"/>
          <w:rFonts w:cs="Times New Roman"/>
          <w:lang w:val="ro-RO"/>
        </w:rPr>
        <w:footnoteReference w:id="79"/>
      </w:r>
      <w:r w:rsidRPr="00EA3B4B">
        <w:rPr>
          <w:rFonts w:cs="Times New Roman"/>
          <w:lang w:val="ro-RO"/>
        </w:rPr>
        <w:t>, de asemenea, există deja multă literatură în limba română</w:t>
      </w:r>
      <w:r w:rsidRPr="00EA3B4B">
        <w:rPr>
          <w:rStyle w:val="FootnoteCharacters"/>
          <w:rFonts w:cs="Times New Roman"/>
          <w:lang w:val="ro-RO"/>
        </w:rPr>
        <w:footnoteReference w:customMarkFollows="1" w:id="80"/>
        <w:t>80</w:t>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b)</w:t>
      </w:r>
      <w:r w:rsidRPr="00EA3B4B">
        <w:rPr>
          <w:rFonts w:cs="Times New Roman"/>
          <w:b/>
          <w:lang w:val="ro-RO"/>
        </w:rPr>
        <w:t xml:space="preserve"> </w:t>
      </w:r>
      <w:r w:rsidRPr="00EA3B4B">
        <w:rPr>
          <w:rFonts w:cs="Times New Roman"/>
          <w:lang w:val="ro-RO"/>
        </w:rPr>
        <w:t>Importanţa lacrimilor pocăinţei este reliefată de Mântuitorul atunci când spune: „</w:t>
      </w:r>
      <w:r w:rsidRPr="00EA3B4B">
        <w:rPr>
          <w:rFonts w:cs="Times New Roman"/>
          <w:i/>
          <w:lang w:val="ro-RO"/>
        </w:rPr>
        <w:t>Fericiţi cei ce plâng, că aceia se vor mângâia</w:t>
      </w:r>
      <w:r w:rsidRPr="00EA3B4B">
        <w:rPr>
          <w:rFonts w:cs="Times New Roman"/>
          <w:lang w:val="ro-RO"/>
        </w:rPr>
        <w:t xml:space="preserve"> (paraklethesontai)” (Mt</w:t>
      </w:r>
      <w:r w:rsidRPr="00EA3B4B">
        <w:rPr>
          <w:rFonts w:cs="Times New Roman"/>
          <w:i/>
          <w:lang w:val="ro-RO"/>
        </w:rPr>
        <w:t xml:space="preserve">. </w:t>
      </w:r>
      <w:r w:rsidRPr="00EA3B4B">
        <w:rPr>
          <w:rFonts w:cs="Times New Roman"/>
          <w:lang w:val="ro-RO"/>
        </w:rPr>
        <w:t>5, 4), cu alte cuvinte Îl vor primi pe Mângâietorul (</w:t>
      </w:r>
      <w:r w:rsidRPr="00EA3B4B">
        <w:rPr>
          <w:rFonts w:cs="Times New Roman"/>
          <w:i/>
          <w:lang w:val="ro-RO"/>
        </w:rPr>
        <w:t>Parakletos</w:t>
      </w:r>
      <w:r w:rsidRPr="00EA3B4B">
        <w:rPr>
          <w:rFonts w:cs="Times New Roman"/>
          <w:lang w:val="ro-RO"/>
        </w:rPr>
        <w:t>), adică pe Duhul Sfânt. Irenee Hausher a dedicat acestui subiect un întreg studiu intitulat „</w:t>
      </w:r>
      <w:r w:rsidRPr="00EA3B4B">
        <w:rPr>
          <w:rFonts w:cs="Times New Roman"/>
          <w:i/>
          <w:lang w:val="ro-RO"/>
        </w:rPr>
        <w:t>Penthos. La doctrine de la componction dans l’Orient Chretien”</w:t>
      </w:r>
      <w:r w:rsidRPr="00EA3B4B">
        <w:rPr>
          <w:rStyle w:val="FootnoteReference"/>
          <w:rFonts w:cs="Times New Roman"/>
          <w:i/>
          <w:lang w:val="ro-RO"/>
        </w:rPr>
        <w:footnoteReference w:id="81"/>
      </w:r>
      <w:r w:rsidRPr="00EA3B4B">
        <w:rPr>
          <w:rFonts w:cs="Times New Roman"/>
          <w:lang w:val="ro-RO"/>
        </w:rPr>
        <w:t xml:space="preserve">. Termenii folosiţi: </w:t>
      </w:r>
      <w:r w:rsidRPr="00EA3B4B">
        <w:rPr>
          <w:rFonts w:cs="Times New Roman"/>
          <w:i/>
          <w:lang w:val="ro-RO"/>
        </w:rPr>
        <w:t>penthos</w:t>
      </w:r>
      <w:r w:rsidRPr="00EA3B4B">
        <w:rPr>
          <w:rFonts w:cs="Times New Roman"/>
          <w:lang w:val="ro-RO"/>
        </w:rPr>
        <w:t xml:space="preserve"> şi </w:t>
      </w:r>
      <w:r w:rsidRPr="00EA3B4B">
        <w:rPr>
          <w:rFonts w:cs="Times New Roman"/>
          <w:i/>
          <w:lang w:val="ro-RO"/>
        </w:rPr>
        <w:t>katanyxis</w:t>
      </w:r>
      <w:r w:rsidRPr="00EA3B4B">
        <w:rPr>
          <w:rFonts w:cs="Times New Roman"/>
          <w:lang w:val="ro-RO"/>
        </w:rPr>
        <w:t xml:space="preserve"> sunt doar aparent sinonimi, deoarece al doilea este mult mai nuanţat. </w:t>
      </w:r>
      <w:r w:rsidRPr="00EA3B4B">
        <w:rPr>
          <w:rFonts w:cs="Times New Roman"/>
          <w:i/>
          <w:lang w:val="ro-RO"/>
        </w:rPr>
        <w:t>Penthos</w:t>
      </w:r>
      <w:r w:rsidRPr="00EA3B4B">
        <w:rPr>
          <w:rFonts w:cs="Times New Roman"/>
          <w:lang w:val="ro-RO"/>
        </w:rPr>
        <w:t xml:space="preserve"> provine din verbul </w:t>
      </w:r>
      <w:r w:rsidRPr="00EA3B4B">
        <w:rPr>
          <w:rFonts w:cs="Times New Roman"/>
          <w:i/>
          <w:lang w:val="ro-RO"/>
        </w:rPr>
        <w:t xml:space="preserve">pentheo </w:t>
      </w:r>
      <w:r w:rsidRPr="00EA3B4B">
        <w:rPr>
          <w:rFonts w:cs="Times New Roman"/>
          <w:lang w:val="ro-RO"/>
        </w:rPr>
        <w:t xml:space="preserve">(a plânge, a fi în doliu), iar </w:t>
      </w:r>
      <w:r w:rsidRPr="00EA3B4B">
        <w:rPr>
          <w:rFonts w:cs="Times New Roman"/>
          <w:i/>
          <w:lang w:val="ro-RO"/>
        </w:rPr>
        <w:t>katanyxis</w:t>
      </w:r>
      <w:r w:rsidRPr="00EA3B4B">
        <w:rPr>
          <w:rFonts w:cs="Times New Roman"/>
          <w:lang w:val="ro-RO"/>
        </w:rPr>
        <w:t xml:space="preserve">, din verbul </w:t>
      </w:r>
      <w:r w:rsidRPr="00EA3B4B">
        <w:rPr>
          <w:rFonts w:cs="Times New Roman"/>
          <w:i/>
          <w:lang w:val="ro-RO"/>
        </w:rPr>
        <w:t>katanysso</w:t>
      </w:r>
      <w:r w:rsidRPr="00EA3B4B">
        <w:rPr>
          <w:rFonts w:cs="Times New Roman"/>
          <w:lang w:val="ro-RO"/>
        </w:rPr>
        <w:t xml:space="preserve"> (a fi pătruns de durere, de remuşcare, de căinţă). Prin </w:t>
      </w:r>
      <w:r w:rsidRPr="00EA3B4B">
        <w:rPr>
          <w:rFonts w:cs="Times New Roman"/>
          <w:i/>
          <w:lang w:val="ro-RO"/>
        </w:rPr>
        <w:t>penthos</w:t>
      </w:r>
      <w:r w:rsidRPr="00EA3B4B">
        <w:rPr>
          <w:rFonts w:cs="Times New Roman"/>
          <w:lang w:val="ro-RO"/>
        </w:rPr>
        <w:t xml:space="preserve"> se exprimă tristeţea cauzată de ofensarea cuiva foarte drag, tristeţea, doliul cauzat de conştientizarea mântuirii pierdute, iar prin </w:t>
      </w:r>
      <w:r w:rsidRPr="00EA3B4B">
        <w:rPr>
          <w:rFonts w:cs="Times New Roman"/>
          <w:i/>
          <w:lang w:val="ro-RO"/>
        </w:rPr>
        <w:t>katanyxis</w:t>
      </w:r>
      <w:r w:rsidRPr="00EA3B4B">
        <w:rPr>
          <w:rFonts w:cs="Times New Roman"/>
          <w:lang w:val="ro-RO"/>
        </w:rPr>
        <w:t>, reacţia psihologică propriu-zisă, adică „străpungerea inimii”, căinţa sinceră, trăirea foarte acută a ceea ce înseamnă pierderea mântuirii.</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Încă din primele secole ale ascezei monastice s-a accentuat în mod deosebit harisma „darului lacrimilor”, trăită nu numai ca o manifestare sensibilă a căinţei, ci ca însuşi semnul transfigurării </w:t>
      </w:r>
      <w:r w:rsidRPr="00EA3B4B">
        <w:rPr>
          <w:rFonts w:cs="Times New Roman"/>
          <w:lang w:val="ro-RO"/>
        </w:rPr>
        <w:lastRenderedPageBreak/>
        <w:t>duhovniceşti, cum constată M. Lot-Borodine</w:t>
      </w:r>
      <w:r w:rsidRPr="00EA3B4B">
        <w:rPr>
          <w:rStyle w:val="FootnoteReference"/>
          <w:rFonts w:cs="Times New Roman"/>
          <w:lang w:val="ro-RO"/>
        </w:rPr>
        <w:footnoteReference w:id="82"/>
      </w:r>
      <w:r w:rsidRPr="00EA3B4B">
        <w:rPr>
          <w:rFonts w:cs="Times New Roman"/>
          <w:lang w:val="ro-RO"/>
        </w:rPr>
        <w:t>. De aceea se poate vorbi despre o „teologie a lacrimilor” în spiritualitatea răsăriteană, sintagmă folosită pentru prima dată de Karl Holl</w:t>
      </w:r>
      <w:r w:rsidRPr="00EA3B4B">
        <w:rPr>
          <w:rStyle w:val="FootnoteCharacters"/>
          <w:rFonts w:cs="Times New Roman"/>
          <w:lang w:val="ro-RO"/>
        </w:rPr>
        <w:footnoteReference w:customMarkFollows="1" w:id="83"/>
        <w:t>83</w:t>
      </w:r>
      <w:r w:rsidRPr="00EA3B4B">
        <w:rPr>
          <w:rFonts w:cs="Times New Roman"/>
          <w:lang w:val="ro-RO"/>
        </w:rPr>
        <w:t>. În literatura ascetică cea mai veche</w:t>
      </w:r>
      <w:r w:rsidRPr="00EA3B4B">
        <w:rPr>
          <w:rStyle w:val="FootnoteReference"/>
          <w:rFonts w:cs="Times New Roman"/>
          <w:lang w:val="ro-RO"/>
        </w:rPr>
        <w:footnoteReference w:id="84"/>
      </w:r>
      <w:r w:rsidRPr="00EA3B4B">
        <w:rPr>
          <w:rFonts w:cs="Times New Roman"/>
          <w:lang w:val="ro-RO"/>
        </w:rPr>
        <w:t xml:space="preserve"> întâlnim expresiile: </w:t>
      </w:r>
      <w:r w:rsidRPr="00EA3B4B">
        <w:rPr>
          <w:rFonts w:cs="Times New Roman"/>
          <w:i/>
          <w:lang w:val="ro-RO"/>
        </w:rPr>
        <w:t xml:space="preserve">louter agatos, louter amartias, </w:t>
      </w:r>
      <w:r w:rsidRPr="00EA3B4B">
        <w:rPr>
          <w:rFonts w:cs="Times New Roman"/>
          <w:lang w:val="ro-RO"/>
        </w:rPr>
        <w:t xml:space="preserve">referitoare la darul lacrimilor, fiind vorba despre un </w:t>
      </w:r>
      <w:r w:rsidRPr="00EA3B4B">
        <w:rPr>
          <w:rFonts w:cs="Times New Roman"/>
          <w:i/>
          <w:lang w:val="ro-RO"/>
        </w:rPr>
        <w:t xml:space="preserve">lavacrum </w:t>
      </w:r>
      <w:r w:rsidRPr="00EA3B4B">
        <w:rPr>
          <w:rFonts w:cs="Times New Roman"/>
          <w:lang w:val="ro-RO"/>
        </w:rPr>
        <w:t>mistic.</w:t>
      </w:r>
    </w:p>
    <w:p w:rsidR="004D40C5" w:rsidRPr="00EA3B4B" w:rsidRDefault="004D40C5" w:rsidP="004D40C5">
      <w:pPr>
        <w:ind w:left="-567" w:right="-709" w:firstLine="851"/>
        <w:jc w:val="both"/>
        <w:rPr>
          <w:rFonts w:cs="Times New Roman"/>
          <w:lang w:val="ro-RO"/>
        </w:rPr>
      </w:pPr>
      <w:r w:rsidRPr="00EA3B4B">
        <w:rPr>
          <w:rFonts w:cs="Times New Roman"/>
          <w:lang w:val="ro-RO"/>
        </w:rPr>
        <w:t>Sfântul Ioan din Singurătate distinge trei feluri de lacrimi, urmând o împărţire tripartită a omului: cele ale omului fizic, psihic şi pnevmatic, precizând şi cauzele care le determină. Omul fizic plânge deoarece se gândeşte foarte mult la necazurile acestei vieţi; omul psihic varsă lacrimi provocate de conştiinţa păcătoşeniei sale, teama de judecată, meditaţia asupra morţii, memoria vie a bunătăţii lui Dumnezeu, Cel care a revărsat permanent harul asupra sa, iar el a răspuns în totală contradicţie cu bunătatea dumnezeiască; lacrimile omului duhovnicesc (pnevmatic) izvorăsc din imensa bucurie cauzată de meditaţia lui continuă asupra iubirii inefabile a lui Dumnezeu, majestăţii dumnezeieşti, slavei veacului ce va să vină. Într-un singur caz lacrimile lui pot fi determinate de tristeţe, atunci când, asemenea Mântuitorului intrând în Ierusalim, plânge din cauza rătăcirii oamenilor, din cauza împietririi inimilor lor</w:t>
      </w:r>
      <w:r w:rsidRPr="00EA3B4B">
        <w:rPr>
          <w:rStyle w:val="FootnoteReference"/>
          <w:rFonts w:cs="Times New Roman"/>
          <w:lang w:val="ro-RO"/>
        </w:rPr>
        <w:footnoteReference w:id="85"/>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„Darul lacrimilor” devine chiar „botezul lacrimilor”. Acest „al doilea botez” reînnoieşte harul primit prin Sfânta Taină a Botezului, face vie din nou în fiecare om care doreşte o viaţă în Hristos, starea iniţială </w:t>
      </w:r>
      <w:r w:rsidRPr="00EA3B4B">
        <w:rPr>
          <w:rFonts w:cs="Times New Roman"/>
          <w:i/>
          <w:lang w:val="ro-RO"/>
        </w:rPr>
        <w:t>sine</w:t>
      </w:r>
      <w:r w:rsidRPr="00EA3B4B">
        <w:rPr>
          <w:rFonts w:cs="Times New Roman"/>
          <w:lang w:val="ro-RO"/>
        </w:rPr>
        <w:t xml:space="preserve"> </w:t>
      </w:r>
      <w:r w:rsidRPr="00EA3B4B">
        <w:rPr>
          <w:rFonts w:cs="Times New Roman"/>
          <w:i/>
          <w:lang w:val="ro-RO"/>
        </w:rPr>
        <w:t>macula</w:t>
      </w:r>
      <w:r w:rsidRPr="00EA3B4B">
        <w:rPr>
          <w:rFonts w:cs="Times New Roman"/>
          <w:lang w:val="ro-RO"/>
        </w:rPr>
        <w:t xml:space="preserve">, pierdută prin păcatele de tot felul, care fac inoperant harul baptismal. Dumnezeu este Sfânt prin fiinţa Sa, de aceea nu poate avea tangenţă cu păcătosul cât timp nu intervine </w:t>
      </w:r>
      <w:r w:rsidRPr="00EA3B4B">
        <w:rPr>
          <w:rFonts w:cs="Times New Roman"/>
          <w:i/>
          <w:lang w:val="ro-RO"/>
        </w:rPr>
        <w:t>metanoia</w:t>
      </w:r>
      <w:r w:rsidRPr="00EA3B4B">
        <w:rPr>
          <w:rFonts w:cs="Times New Roman"/>
          <w:lang w:val="ro-RO"/>
        </w:rPr>
        <w:t>. „Al doilea botez”, cel al lacrimilor, înseamnă reactualizarea darurilor primite prin Sfânta Taină a Botezului: naştere din nou (</w:t>
      </w:r>
      <w:r w:rsidRPr="00EA3B4B">
        <w:rPr>
          <w:rFonts w:cs="Times New Roman"/>
          <w:i/>
          <w:lang w:val="ro-RO"/>
        </w:rPr>
        <w:t>anagennesis</w:t>
      </w:r>
      <w:r w:rsidRPr="00EA3B4B">
        <w:rPr>
          <w:rFonts w:cs="Times New Roman"/>
          <w:lang w:val="ro-RO"/>
        </w:rPr>
        <w:t>), înfiere (</w:t>
      </w:r>
      <w:r w:rsidRPr="00EA3B4B">
        <w:rPr>
          <w:rFonts w:cs="Times New Roman"/>
          <w:i/>
          <w:lang w:val="ro-RO"/>
        </w:rPr>
        <w:t>hyiothesia</w:t>
      </w:r>
      <w:r w:rsidRPr="00EA3B4B">
        <w:rPr>
          <w:rFonts w:cs="Times New Roman"/>
          <w:lang w:val="ro-RO"/>
        </w:rPr>
        <w:t>), fraţi ai lui Hristos, consacrare prin prezenţa Duhului Sfânt, primirea veşmântului dumnezeiesc, adică a lui Hristos Însuşi. Datorită importanţei sale, subiectul i-a preocupat, începând cu Părinţii pustiei, aproape pe toţi Sfinţii Părinţi</w:t>
      </w:r>
      <w:r w:rsidRPr="00EA3B4B">
        <w:rPr>
          <w:rStyle w:val="FootnoteReference"/>
          <w:rFonts w:cs="Times New Roman"/>
          <w:lang w:val="ro-RO"/>
        </w:rPr>
        <w:footnoteReference w:id="86"/>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Sfântul Ioan Scărarul, în Cuvântul al VII-lea din </w:t>
      </w:r>
      <w:r w:rsidRPr="00EA3B4B">
        <w:rPr>
          <w:rFonts w:cs="Times New Roman"/>
          <w:i/>
          <w:lang w:val="ro-RO"/>
        </w:rPr>
        <w:t>Scara dumnezeiescului urcuş</w:t>
      </w:r>
      <w:r w:rsidRPr="00EA3B4B">
        <w:rPr>
          <w:rFonts w:cs="Times New Roman"/>
          <w:lang w:val="ro-RO"/>
        </w:rPr>
        <w:t>, intitulat „Despre plânsul de bucurie făcător”, scrie: „Plânsul este un ac de aur al sufletului scăpat de orice ţintuire şi alipire, şi înfipt de tristeţea cuvioasă în lucrarea de cercetare a inimii. Străpungerea este un chin neîncetat al conştiinţei, care pricinuieşte împrospătarea focului inimii, prin mărturisirea făcută în minte”</w:t>
      </w:r>
      <w:r w:rsidRPr="00EA3B4B">
        <w:rPr>
          <w:rStyle w:val="FootnoteReference"/>
          <w:rFonts w:cs="Times New Roman"/>
          <w:lang w:val="ro-RO"/>
        </w:rPr>
        <w:footnoteReference w:id="87"/>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Părintele Stăniloae, traducătorul acestei opere, explică: „Plânsul sau străpungerea inimii e o mărturisire a păcatelor făcută de minte lui Dumnezeu, şi un dialog nevăzut, neîncetat şi îndurerat, în care sufletul îşi recunoaşte necontenit păcatele în faţa lui Dumnezeu şi cere iertare pentru ele. Sufletul e atât de concentrat în această mărturisire îndurerată, încât omul uită să mănânce, biruind trebuinţele firii”</w:t>
      </w:r>
      <w:r w:rsidRPr="00EA3B4B">
        <w:rPr>
          <w:rStyle w:val="FootnoteReference"/>
          <w:rFonts w:cs="Times New Roman"/>
          <w:lang w:val="ro-RO"/>
        </w:rPr>
        <w:footnoteReference w:id="88"/>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În capitolul din care tocmai am citat, Sfântul Ioan Scărarul mai scrie:</w:t>
      </w:r>
    </w:p>
    <w:p w:rsidR="004D40C5" w:rsidRPr="00EA3B4B" w:rsidRDefault="004D40C5" w:rsidP="004D40C5">
      <w:pPr>
        <w:ind w:left="-567" w:right="-709" w:firstLine="851"/>
        <w:jc w:val="both"/>
        <w:rPr>
          <w:rFonts w:cs="Times New Roman"/>
          <w:lang w:val="ro-RO"/>
        </w:rPr>
      </w:pPr>
      <w:r w:rsidRPr="00EA3B4B">
        <w:rPr>
          <w:rFonts w:cs="Times New Roman"/>
          <w:lang w:val="ro-RO"/>
        </w:rPr>
        <w:t>„Deşi cuvântul e îndrăzneţ, izvorul lacrimilor după Botez e mai mare decât Botezul. Deoarece acela ne curăţeşte de păcatele noastre de mai înainte, iar acesta, de cele de după aceea. Şi primindu-l pe acela toţi fiind copii, ne-am întinat după aceea; prin acesta însă l-am curăţit şi pe acela. Dacă acesta nu s-ar fi dăruit oamenilor din iubire de oameni, cu adevărat rari ar fi cei ce se mântuiesc”</w:t>
      </w:r>
      <w:r w:rsidRPr="00EA3B4B">
        <w:rPr>
          <w:rStyle w:val="FootnoteReference"/>
          <w:rFonts w:cs="Times New Roman"/>
          <w:lang w:val="ro-RO"/>
        </w:rPr>
        <w:footnoteReference w:id="8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Începutul acestei afirmaţii se explică prin următoarea scolie: „A spus că izvorul lacrimilor e mai mare, în loc să spună că e mai bun în comparaţie cu Botezul, pentru că se lucrează şi de către noi. Dar nu l-a opus Botezului. Faţă de noi e mai bun, pentru că el ne şi fereşte de păcatul de mai înainte. În raport cu prea sfântul Botez nu e însă nici măcar egal, cu atât mai puţin mai mare”.</w:t>
      </w:r>
    </w:p>
    <w:p w:rsidR="004D40C5" w:rsidRPr="00EA3B4B" w:rsidRDefault="004D40C5" w:rsidP="004D40C5">
      <w:pPr>
        <w:ind w:left="-567" w:right="-709" w:firstLine="851"/>
        <w:jc w:val="both"/>
        <w:rPr>
          <w:rFonts w:cs="Times New Roman"/>
          <w:lang w:val="ro-RO"/>
        </w:rPr>
      </w:pPr>
      <w:r w:rsidRPr="00EA3B4B">
        <w:rPr>
          <w:rFonts w:cs="Times New Roman"/>
          <w:lang w:val="ro-RO"/>
        </w:rPr>
        <w:lastRenderedPageBreak/>
        <w:t>Înscriindu-se în această tradiţie, „darul lacrimilor” dobândeşte la Sfântul Simeon Noul Teolog o relevanţă deosebită, deoarece a fost experiat deplin. Lacrimile sunt pentru el: „l’oblation mystique qui plaît a Dieu, qu’Il recoit sur son autel supra-celeste, et en echange duquel Il nous confere le don du Saint-Esprit”</w:t>
      </w:r>
      <w:r w:rsidRPr="00EA3B4B">
        <w:rPr>
          <w:rStyle w:val="FootnoteReference"/>
          <w:rFonts w:cs="Times New Roman"/>
          <w:lang w:val="ro-RO"/>
        </w:rPr>
        <w:footnoteReference w:id="90"/>
      </w:r>
      <w:r w:rsidRPr="00EA3B4B">
        <w:rPr>
          <w:rFonts w:cs="Times New Roman"/>
          <w:lang w:val="ro-RO"/>
        </w:rPr>
        <w:t>. Necesitatea absolută a acestei spălări post-baptismale este afirmată în mod repetat de Sfântul Simeon, dar el nu spune niciodată că lacrimile ar fi „materie” pentru o nouă Taină, ci doar semnul inconfundabil al „compunctio cordis”, fără care iertarea păcatelor ar fi imposibilă. Nu este vorba numai despre iertare, ci de o adevărată consacrare în Duhul Sfânt a făpturii născute din nou din „fons lacrimarum”:</w:t>
      </w:r>
    </w:p>
    <w:p w:rsidR="004D40C5" w:rsidRPr="00EA3B4B" w:rsidRDefault="004D40C5" w:rsidP="004D40C5">
      <w:pPr>
        <w:ind w:left="-567" w:right="-709" w:firstLine="851"/>
        <w:jc w:val="center"/>
        <w:rPr>
          <w:rFonts w:cs="Times New Roman"/>
          <w:i/>
          <w:lang w:val="ro-RO"/>
        </w:rPr>
      </w:pPr>
      <w:r w:rsidRPr="00EA3B4B">
        <w:rPr>
          <w:rFonts w:cs="Times New Roman"/>
          <w:lang w:val="ro-RO"/>
        </w:rPr>
        <w:t>„</w:t>
      </w:r>
      <w:r w:rsidRPr="00EA3B4B">
        <w:rPr>
          <w:rFonts w:cs="Times New Roman"/>
          <w:i/>
          <w:lang w:val="ro-RO"/>
        </w:rPr>
        <w:t>Dă-mi smerenie, dă-mi o mână de ajutor</w:t>
      </w:r>
    </w:p>
    <w:p w:rsidR="004D40C5" w:rsidRPr="00EA3B4B" w:rsidRDefault="004D40C5" w:rsidP="004D40C5">
      <w:pPr>
        <w:ind w:left="-567" w:right="-709" w:firstLine="851"/>
        <w:jc w:val="center"/>
        <w:rPr>
          <w:rFonts w:cs="Times New Roman"/>
          <w:i/>
          <w:lang w:val="ro-RO"/>
        </w:rPr>
      </w:pPr>
      <w:r w:rsidRPr="00EA3B4B">
        <w:rPr>
          <w:rFonts w:cs="Times New Roman"/>
          <w:i/>
          <w:lang w:val="ro-RO"/>
        </w:rPr>
        <w:t>şi curăţeşte murdăria sufletului meu</w:t>
      </w:r>
    </w:p>
    <w:p w:rsidR="004D40C5" w:rsidRPr="00EA3B4B" w:rsidRDefault="004D40C5" w:rsidP="004D40C5">
      <w:pPr>
        <w:ind w:left="-567" w:right="-709" w:firstLine="851"/>
        <w:jc w:val="center"/>
        <w:rPr>
          <w:rFonts w:cs="Times New Roman"/>
          <w:i/>
          <w:lang w:val="ro-RO"/>
        </w:rPr>
      </w:pPr>
      <w:r w:rsidRPr="00EA3B4B">
        <w:rPr>
          <w:rFonts w:cs="Times New Roman"/>
          <w:i/>
          <w:lang w:val="ro-RO"/>
        </w:rPr>
        <w:t>şi dăruieşte-mi lacrimi de pocăinţă,</w:t>
      </w:r>
    </w:p>
    <w:p w:rsidR="004D40C5" w:rsidRPr="00EA3B4B" w:rsidRDefault="004D40C5" w:rsidP="004D40C5">
      <w:pPr>
        <w:ind w:left="-567" w:right="-709" w:firstLine="851"/>
        <w:jc w:val="center"/>
        <w:rPr>
          <w:rFonts w:cs="Times New Roman"/>
          <w:i/>
          <w:lang w:val="ro-RO"/>
        </w:rPr>
      </w:pPr>
      <w:r w:rsidRPr="00EA3B4B">
        <w:rPr>
          <w:rFonts w:cs="Times New Roman"/>
          <w:i/>
          <w:lang w:val="ro-RO"/>
        </w:rPr>
        <w:t>lacrimi de dor, lacrimi de mântuire,</w:t>
      </w:r>
    </w:p>
    <w:p w:rsidR="004D40C5" w:rsidRPr="00EA3B4B" w:rsidRDefault="004D40C5" w:rsidP="004D40C5">
      <w:pPr>
        <w:ind w:left="-567" w:right="-709" w:firstLine="851"/>
        <w:jc w:val="center"/>
        <w:rPr>
          <w:rFonts w:cs="Times New Roman"/>
          <w:i/>
          <w:lang w:val="ro-RO"/>
        </w:rPr>
      </w:pPr>
      <w:r w:rsidRPr="00EA3B4B">
        <w:rPr>
          <w:rFonts w:cs="Times New Roman"/>
          <w:i/>
          <w:lang w:val="ro-RO"/>
        </w:rPr>
        <w:t>lacrimi ce curăţă întunericul minţii mele</w:t>
      </w:r>
    </w:p>
    <w:p w:rsidR="004D40C5" w:rsidRPr="00EA3B4B" w:rsidRDefault="004D40C5" w:rsidP="004D40C5">
      <w:pPr>
        <w:ind w:left="-567" w:right="-709" w:firstLine="851"/>
        <w:jc w:val="center"/>
        <w:rPr>
          <w:rFonts w:cs="Times New Roman"/>
          <w:i/>
          <w:lang w:val="ro-RO"/>
        </w:rPr>
      </w:pPr>
      <w:r w:rsidRPr="00EA3B4B">
        <w:rPr>
          <w:rFonts w:cs="Times New Roman"/>
          <w:i/>
          <w:lang w:val="ro-RO"/>
        </w:rPr>
        <w:t>şi mă fac să strălucesc de sus,</w:t>
      </w:r>
    </w:p>
    <w:p w:rsidR="004D40C5" w:rsidRPr="00EA3B4B" w:rsidRDefault="004D40C5" w:rsidP="004D40C5">
      <w:pPr>
        <w:ind w:left="-567" w:right="-709" w:firstLine="851"/>
        <w:jc w:val="center"/>
        <w:rPr>
          <w:rFonts w:cs="Times New Roman"/>
          <w:i/>
          <w:lang w:val="ro-RO"/>
        </w:rPr>
      </w:pPr>
      <w:r w:rsidRPr="00EA3B4B">
        <w:rPr>
          <w:rFonts w:cs="Times New Roman"/>
          <w:i/>
          <w:lang w:val="ro-RO"/>
        </w:rPr>
        <w:t>pe mine care voiesc să Te văd</w:t>
      </w:r>
    </w:p>
    <w:p w:rsidR="004D40C5" w:rsidRPr="00EA3B4B" w:rsidRDefault="004D40C5" w:rsidP="004D40C5">
      <w:pPr>
        <w:ind w:left="-567" w:right="-709" w:firstLine="851"/>
        <w:jc w:val="center"/>
        <w:rPr>
          <w:rFonts w:cs="Times New Roman"/>
          <w:lang w:val="ro-RO"/>
        </w:rPr>
      </w:pPr>
      <w:r w:rsidRPr="00EA3B4B">
        <w:rPr>
          <w:rFonts w:cs="Times New Roman"/>
          <w:i/>
          <w:lang w:val="ro-RO"/>
        </w:rPr>
        <w:t>pe Tine, Lumina lumii</w:t>
      </w:r>
      <w:r w:rsidRPr="00EA3B4B">
        <w:rPr>
          <w:rFonts w:cs="Times New Roman"/>
          <w:lang w:val="ro-RO"/>
        </w:rPr>
        <w:t>”</w:t>
      </w:r>
      <w:r w:rsidRPr="00EA3B4B">
        <w:rPr>
          <w:rStyle w:val="FootnoteReference"/>
          <w:rFonts w:cs="Times New Roman"/>
          <w:lang w:val="ro-RO"/>
        </w:rPr>
        <w:footnoteReference w:id="91"/>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Capitolul al IV-lea din </w:t>
      </w:r>
      <w:r w:rsidRPr="00EA3B4B">
        <w:rPr>
          <w:rFonts w:cs="Times New Roman"/>
          <w:i/>
          <w:lang w:val="ro-RO"/>
        </w:rPr>
        <w:t>Cateheze</w:t>
      </w:r>
      <w:r w:rsidRPr="00EA3B4B">
        <w:rPr>
          <w:rFonts w:cs="Times New Roman"/>
          <w:lang w:val="ro-RO"/>
        </w:rPr>
        <w:t xml:space="preserve"> este dedicat acestui subiect. Se începe prin evocarea cuvintelor Sfântul Simeon Studitul (Evlaviosul), părintele duhovnicesc al Sfântului Simeon Noul Teolog: „Niciodată să nu te împărtăşeşti fără lacrimi” (IV, 12). Aceste cuvinte nu au fost înţelese la început, dar se arată cum se poate atinge acest stadiu. De fapt, este vorba despre o permanentă stare de căinţă, pentru că cel ce nu-şi plânge păcatele zi şi noapte, nu va putea vărsa lacrimi nici când se împărtăşeşte.</w:t>
      </w:r>
    </w:p>
    <w:p w:rsidR="004D40C5" w:rsidRPr="00EA3B4B" w:rsidRDefault="004D40C5" w:rsidP="004D40C5">
      <w:pPr>
        <w:ind w:left="-567" w:right="-709" w:firstLine="851"/>
        <w:jc w:val="both"/>
        <w:rPr>
          <w:rFonts w:cs="Times New Roman"/>
          <w:lang w:val="ro-RO"/>
        </w:rPr>
      </w:pPr>
      <w:r w:rsidRPr="00EA3B4B">
        <w:rPr>
          <w:rFonts w:cs="Times New Roman"/>
          <w:lang w:val="ro-RO"/>
        </w:rPr>
        <w:t>Aşa cum constată I. Hausherr, în studiul citat, nimeni nu are o idee mai înaltă despre darul lacrimilor decât Sfântul Simeon Noul Teolog, care vede în el adevăratul botez în Duhul Sfânt: „Il y voit le veritable bapteme de l’ Esprit, le grand «photismos», l’ illumination par laquelle l’ homme devient tout lumiere”</w:t>
      </w:r>
      <w:r w:rsidRPr="00EA3B4B">
        <w:rPr>
          <w:rStyle w:val="FootnoteReference"/>
          <w:rFonts w:cs="Times New Roman"/>
          <w:lang w:val="ro-RO"/>
        </w:rPr>
        <w:footnoteReference w:id="92"/>
      </w:r>
      <w:r w:rsidRPr="00EA3B4B">
        <w:rPr>
          <w:rFonts w:cs="Times New Roman"/>
          <w:lang w:val="ro-RO"/>
        </w:rPr>
        <w:t>. Această afirmaţie poate fi susţinută cu citate cum ar fi: „(…) scăldat în apa lacrimilor care-i pătrund tot trupul, este botezat încet, încet, în întregime, sub acţiunea focului dumnezeiesc şi a Duhului Sfânt (Mt</w:t>
      </w:r>
      <w:r w:rsidRPr="00EA3B4B">
        <w:rPr>
          <w:rFonts w:cs="Times New Roman"/>
          <w:i/>
          <w:lang w:val="ro-RO"/>
        </w:rPr>
        <w:t xml:space="preserve">. </w:t>
      </w:r>
      <w:r w:rsidRPr="00EA3B4B">
        <w:rPr>
          <w:rFonts w:cs="Times New Roman"/>
          <w:lang w:val="ro-RO"/>
        </w:rPr>
        <w:t>3, 11) şi devine în totalitate pur, absolut fără nicio pată, fiu al luminii şi al zilei, nu al omului muritor”</w:t>
      </w:r>
      <w:r w:rsidRPr="00EA3B4B">
        <w:rPr>
          <w:rStyle w:val="FootnoteReference"/>
          <w:rFonts w:cs="Times New Roman"/>
          <w:lang w:val="ro-RO"/>
        </w:rPr>
        <w:footnoteReference w:id="93"/>
      </w:r>
      <w:r w:rsidRPr="00EA3B4B">
        <w:rPr>
          <w:rFonts w:cs="Times New Roman"/>
          <w:lang w:val="ro-RO"/>
        </w:rPr>
        <w:t>. „(…) în absenţa lacrimilor şi a căinţei continue, nici un om n-a fost curăţit vreodată, nici n-a devenit sfânt, nici nu L-a primit pe Duhul Sfânt, nici nu L-a contemplat pe Dumnezeu, nici nu L-a cunoscut ca sălăşluind întru el, nici nu L-a avut vreodată în inima sa”</w:t>
      </w:r>
      <w:r w:rsidRPr="00EA3B4B">
        <w:rPr>
          <w:rStyle w:val="FootnoteReference"/>
          <w:rFonts w:cs="Times New Roman"/>
          <w:lang w:val="ro-RO"/>
        </w:rPr>
        <w:footnoteReference w:id="94"/>
      </w:r>
      <w:r w:rsidRPr="00EA3B4B">
        <w:rPr>
          <w:rFonts w:cs="Times New Roman"/>
          <w:lang w:val="ro-RO"/>
        </w:rPr>
        <w:t>. „Şi atunci deschizându-şi omul ochii minţii şi privind firea celor ce sunt cum n-o mai privise niciodată, se umple de uimire şi-l podidesc fără să vrea şi fără durere lacrimile, prin care se curăţeşte cu al doilea botez, cu botezul acela despre care zice Domnul în Evanghelie: «</w:t>
      </w:r>
      <w:r w:rsidRPr="00EA3B4B">
        <w:rPr>
          <w:rFonts w:cs="Times New Roman"/>
          <w:i/>
          <w:lang w:val="ro-RO"/>
        </w:rPr>
        <w:t xml:space="preserve">De nu se va naşte cineva de sus </w:t>
      </w:r>
      <w:r w:rsidRPr="00EA3B4B">
        <w:rPr>
          <w:rFonts w:cs="Times New Roman"/>
          <w:lang w:val="ro-RO"/>
        </w:rPr>
        <w:t>» (In</w:t>
      </w:r>
      <w:r w:rsidRPr="00EA3B4B">
        <w:rPr>
          <w:rFonts w:cs="Times New Roman"/>
          <w:i/>
          <w:lang w:val="ro-RO"/>
        </w:rPr>
        <w:t xml:space="preserve">. </w:t>
      </w:r>
      <w:r w:rsidRPr="00EA3B4B">
        <w:rPr>
          <w:rFonts w:cs="Times New Roman"/>
          <w:lang w:val="ro-RO"/>
        </w:rPr>
        <w:t>3, 7). Spunând «de sus», a dorit să se înţeleagă naşterea din Duhul”</w:t>
      </w:r>
      <w:r w:rsidRPr="00EA3B4B">
        <w:rPr>
          <w:rStyle w:val="FootnoteCharacters"/>
          <w:rFonts w:cs="Times New Roman"/>
          <w:lang w:val="ro-RO"/>
        </w:rPr>
        <w:footnoteReference w:customMarkFollows="1" w:id="95"/>
        <w:t>95</w:t>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Când vorbeşte despre „Botezul în Duhul Sfânt” (</w:t>
      </w:r>
      <w:r w:rsidRPr="00EA3B4B">
        <w:rPr>
          <w:rFonts w:cs="Times New Roman"/>
          <w:i/>
          <w:lang w:val="ro-RO"/>
        </w:rPr>
        <w:t>To Baptisma en to Pneumati Haghio</w:t>
      </w:r>
      <w:r w:rsidRPr="00EA3B4B">
        <w:rPr>
          <w:rFonts w:cs="Times New Roman"/>
          <w:lang w:val="ro-RO"/>
        </w:rPr>
        <w:t>)</w:t>
      </w:r>
      <w:r w:rsidRPr="00EA3B4B">
        <w:rPr>
          <w:rFonts w:cs="Times New Roman"/>
          <w:i/>
          <w:lang w:val="ro-RO"/>
        </w:rPr>
        <w:t xml:space="preserve">, </w:t>
      </w:r>
      <w:r w:rsidRPr="00EA3B4B">
        <w:rPr>
          <w:rFonts w:cs="Times New Roman"/>
          <w:lang w:val="ro-RO"/>
        </w:rPr>
        <w:t>Sfântul Simeon se referă în primul rând la harul înnoitor al Botezului sacramental. Nu este vorba, prin urmare, de două botezuri, ci de unul singur, care ar fi însă nedeplin dacă s-ar săvârşi fără prezenţa simţită a Duhului Sfânt. Aceeaşi lucrare a Duhului Sfânt face din botezul cu apă o sfântă taină, care la rândul său face posibilă reînnoirea treptată a „chipului”. Referindu-se la cuvintele: „(</w:t>
      </w:r>
      <w:r w:rsidRPr="00EA3B4B">
        <w:rPr>
          <w:rFonts w:cs="Times New Roman"/>
          <w:i/>
          <w:lang w:val="ro-RO"/>
        </w:rPr>
        <w:t>…</w:t>
      </w:r>
      <w:r w:rsidRPr="00EA3B4B">
        <w:rPr>
          <w:rFonts w:cs="Times New Roman"/>
          <w:lang w:val="ro-RO"/>
        </w:rPr>
        <w:t xml:space="preserve">) </w:t>
      </w:r>
      <w:r w:rsidRPr="00EA3B4B">
        <w:rPr>
          <w:rFonts w:cs="Times New Roman"/>
          <w:i/>
          <w:lang w:val="ro-RO"/>
        </w:rPr>
        <w:t xml:space="preserve">cei ce nu din sânge, nici din voie trupească, nici din vrere bărbătească, ci de la Dumnezeu s-au născut” </w:t>
      </w:r>
      <w:r w:rsidRPr="00EA3B4B">
        <w:rPr>
          <w:rFonts w:cs="Times New Roman"/>
          <w:lang w:val="ro-RO"/>
        </w:rPr>
        <w:t>(In. 1, 13), Sfântul Simeon scrie: „Naştere numeşte aici schimbarea duhovnicească (</w:t>
      </w:r>
      <w:r w:rsidRPr="00EA3B4B">
        <w:rPr>
          <w:rFonts w:cs="Times New Roman"/>
          <w:i/>
          <w:lang w:val="ro-RO"/>
        </w:rPr>
        <w:t>pneumatiken</w:t>
      </w:r>
      <w:r w:rsidRPr="00EA3B4B">
        <w:rPr>
          <w:rFonts w:cs="Times New Roman"/>
          <w:lang w:val="ro-RO"/>
        </w:rPr>
        <w:t xml:space="preserve"> </w:t>
      </w:r>
      <w:r w:rsidRPr="00EA3B4B">
        <w:rPr>
          <w:rFonts w:cs="Times New Roman"/>
          <w:i/>
          <w:lang w:val="ro-RO"/>
        </w:rPr>
        <w:t>alloiosin</w:t>
      </w:r>
      <w:r w:rsidRPr="00EA3B4B">
        <w:rPr>
          <w:rFonts w:cs="Times New Roman"/>
          <w:lang w:val="ro-RO"/>
        </w:rPr>
        <w:t>) care se lucrează şi se vede în botezul Duhului Sfânt, precum Însuşi Domnul Cel nemincinos spune: «</w:t>
      </w:r>
      <w:r w:rsidRPr="00EA3B4B">
        <w:rPr>
          <w:rFonts w:cs="Times New Roman"/>
          <w:i/>
          <w:lang w:val="ro-RO"/>
        </w:rPr>
        <w:t xml:space="preserve">Ioan a botezat cu apă, dar voi veţi </w:t>
      </w:r>
      <w:r w:rsidRPr="00EA3B4B">
        <w:rPr>
          <w:rFonts w:cs="Times New Roman"/>
          <w:i/>
          <w:lang w:val="ro-RO"/>
        </w:rPr>
        <w:lastRenderedPageBreak/>
        <w:t>fi botezaţi în Duhul Sfânt</w:t>
      </w:r>
      <w:r w:rsidRPr="00EA3B4B">
        <w:rPr>
          <w:rFonts w:cs="Times New Roman"/>
          <w:lang w:val="ro-RO"/>
        </w:rPr>
        <w:t>». Aşadar, cei botezaţi în Acesta, ca într-o lumină se fac lumină şi cunosc pe Cel Care i-a născut; căci Îl şi văd”</w:t>
      </w:r>
      <w:r w:rsidRPr="00EA3B4B">
        <w:rPr>
          <w:rStyle w:val="FootnoteReference"/>
          <w:rFonts w:cs="Times New Roman"/>
          <w:lang w:val="ro-RO"/>
        </w:rPr>
        <w:footnoteReference w:id="96"/>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Sfântul Simeon Noul Teolog nu spune că ne-am dezbrăcat de omul cel vechi laolaltă cu faptele lui şi ne-am îmbrăcat cu cel nou, care spre cunoaştere se reînnoieşte după chipul Celui Ce l-a zidit (cf. Col. 3, 9, 10), odată pentru totdeauna, ci mai degrabă că Taina Botezului reprezintă momentul decisiv care-l introduce pe om într-o perioadă de efort susţinut pentru a-L urma pe Hristos, printr-un proces de continuă înnoire. În acest sens se poate înţelege rugăciunea cu care încep slujbele bisericeşti: „Împărate ceresc Mângâietorule, Duhul Adevărului (…) vino şi Te sălăşluieşte întru noi”. Prin cele trei Sfinte Taine numite „de iniţiere”, am fost consacraţi pentru viaţa duhovnicească, Sfântul Duh locuieşte deja întru noi, cu toate acestea Îi spunem mereu „vino”, pentru că trebuie să devenim permanent ceea ce suntem deja. Prin invocarea Sfântului Duh, credinciosul dobândeşte un influx de sfinţenie, care începe din momentul Botezului şi atinge punctul culminant atunci când Mângâietorul a fost pe deplin dobândit, atunci când a avut loc „Botezul în Duhul Sfânt”, fapt care duce la transfigurarea primitorului</w:t>
      </w:r>
      <w:r w:rsidRPr="00EA3B4B">
        <w:rPr>
          <w:rStyle w:val="FootnoteReference"/>
          <w:rFonts w:cs="Times New Roman"/>
          <w:lang w:val="ro-RO"/>
        </w:rPr>
        <w:footnoteReference w:id="97"/>
      </w:r>
      <w:r w:rsidRPr="00EA3B4B">
        <w:rPr>
          <w:rFonts w:cs="Times New Roman"/>
          <w:lang w:val="ro-RO"/>
        </w:rPr>
        <w:t xml:space="preserve">. „Botezul în Duhul Sfânt”, adică experierea deplină şi permanentizată a harului baptismal, pune în lumină indisolubila legătură între </w:t>
      </w:r>
      <w:r w:rsidRPr="00EA3B4B">
        <w:rPr>
          <w:rFonts w:cs="Times New Roman"/>
          <w:i/>
          <w:lang w:val="ro-RO"/>
        </w:rPr>
        <w:t>orthopraxia</w:t>
      </w:r>
      <w:r w:rsidRPr="00EA3B4B">
        <w:rPr>
          <w:rFonts w:cs="Times New Roman"/>
          <w:lang w:val="ro-RO"/>
        </w:rPr>
        <w:t xml:space="preserve">, sau chiar </w:t>
      </w:r>
      <w:r w:rsidRPr="00EA3B4B">
        <w:rPr>
          <w:rFonts w:cs="Times New Roman"/>
          <w:i/>
          <w:lang w:val="ro-RO"/>
        </w:rPr>
        <w:t>theopraxia</w:t>
      </w:r>
      <w:r w:rsidRPr="00EA3B4B">
        <w:rPr>
          <w:rFonts w:cs="Times New Roman"/>
          <w:lang w:val="ro-RO"/>
        </w:rPr>
        <w:t xml:space="preserve">, şi </w:t>
      </w:r>
      <w:r w:rsidRPr="00EA3B4B">
        <w:rPr>
          <w:rFonts w:cs="Times New Roman"/>
          <w:i/>
          <w:lang w:val="ro-RO"/>
        </w:rPr>
        <w:t>theognosia</w:t>
      </w:r>
      <w:r w:rsidRPr="00EA3B4B">
        <w:rPr>
          <w:rFonts w:cs="Times New Roman"/>
          <w:lang w:val="ro-RO"/>
        </w:rPr>
        <w:t xml:space="preserve">. Îl cunoaştem pe Dumnezeu pe măsură ce Hristos aflat tainic în noi de la Botez, creşte în noi datorită lucrării sinergice a hristificării sau </w:t>
      </w:r>
      <w:r w:rsidRPr="00EA3B4B">
        <w:rPr>
          <w:rFonts w:cs="Times New Roman"/>
          <w:i/>
          <w:lang w:val="ro-RO"/>
        </w:rPr>
        <w:t>hristomorfizării,</w:t>
      </w:r>
      <w:r w:rsidRPr="00EA3B4B">
        <w:rPr>
          <w:rFonts w:cs="Times New Roman"/>
          <w:lang w:val="ro-RO"/>
        </w:rPr>
        <w:t xml:space="preserve"> lucrare ce aparţine Sfântului Duh şi nouă.</w:t>
      </w:r>
    </w:p>
    <w:p w:rsidR="004D40C5" w:rsidRPr="00EA3B4B" w:rsidRDefault="004D40C5" w:rsidP="004D40C5">
      <w:pPr>
        <w:ind w:left="-567" w:right="-709" w:firstLine="851"/>
        <w:jc w:val="both"/>
        <w:rPr>
          <w:rFonts w:cs="Times New Roman"/>
          <w:lang w:val="ro-RO"/>
        </w:rPr>
      </w:pPr>
      <w:r w:rsidRPr="00EA3B4B">
        <w:rPr>
          <w:rFonts w:cs="Times New Roman"/>
          <w:lang w:val="ro-RO"/>
        </w:rPr>
        <w:t>Rugăciunea curată culminează cu „odihna minţii”, care este „apofatismul de gradul al doilea, prima treaptă a liniştii”. Nu înseamnă vederea luminii dumnezeieşti, „dar e o simţire a prezenţei Lui, provocată de puterea Lui”.</w:t>
      </w:r>
    </w:p>
    <w:p w:rsidR="004D40C5" w:rsidRPr="00EA3B4B" w:rsidRDefault="004D40C5" w:rsidP="004D40C5">
      <w:pPr>
        <w:ind w:left="-567" w:right="-709" w:firstLine="851"/>
        <w:jc w:val="both"/>
        <w:rPr>
          <w:rFonts w:cs="Times New Roman"/>
          <w:lang w:val="ro-RO"/>
        </w:rPr>
      </w:pPr>
      <w:r w:rsidRPr="00EA3B4B">
        <w:rPr>
          <w:rFonts w:cs="Times New Roman"/>
          <w:lang w:val="ro-RO"/>
        </w:rPr>
        <w:t>Mintea ajunsă în faţa indefinitului propriu, dar mai ales în faţa nemărginirii şi suveranităţii lui Dumnezeu, pe care o simte prezentă, încearcă o anumită „înmărmurire”. Sfântul Maxim interpretează Ps. 41, 8: „Abisul cheamă abisul în glas de cascade”, în sensul că mintea descoperindu-şi propriul abis, după părăsirea tuturor reprezentărilor şi conceptelor, caută şi simte glasul de cascade al abisului divin</w:t>
      </w:r>
      <w:r w:rsidRPr="00EA3B4B">
        <w:rPr>
          <w:rStyle w:val="FootnoteReference"/>
          <w:rFonts w:cs="Times New Roman"/>
          <w:lang w:val="ro-RO"/>
        </w:rPr>
        <w:footnoteReference w:id="98"/>
      </w:r>
      <w:r w:rsidRPr="00EA3B4B">
        <w:rPr>
          <w:rFonts w:cs="Times New Roman"/>
          <w:lang w:val="ro-RO"/>
        </w:rPr>
        <w:t>. Este vorba de două aspecte: unul negativ, „înmărmurirea”, şi altul pozitiv, simţirea prezenţei şi infinităţii şi suveranităţii lui Dumnezeu.</w:t>
      </w:r>
    </w:p>
    <w:p w:rsidR="004D40C5" w:rsidRPr="00EA3B4B" w:rsidRDefault="004D40C5" w:rsidP="004D40C5">
      <w:pPr>
        <w:ind w:left="-567" w:right="-709" w:firstLine="851"/>
        <w:jc w:val="both"/>
        <w:rPr>
          <w:rFonts w:cs="Times New Roman"/>
          <w:i/>
          <w:lang w:val="ro-RO"/>
        </w:rPr>
      </w:pPr>
      <w:r w:rsidRPr="00EA3B4B">
        <w:rPr>
          <w:rFonts w:cs="Times New Roman"/>
          <w:lang w:val="ro-RO"/>
        </w:rPr>
        <w:t xml:space="preserve">Fiind rezultatul </w:t>
      </w:r>
      <w:r w:rsidRPr="00EA3B4B">
        <w:rPr>
          <w:rFonts w:cs="Times New Roman"/>
          <w:i/>
          <w:lang w:val="ro-RO"/>
        </w:rPr>
        <w:t>metanoiei</w:t>
      </w:r>
      <w:r w:rsidRPr="00EA3B4B">
        <w:rPr>
          <w:rFonts w:cs="Times New Roman"/>
          <w:lang w:val="ro-RO"/>
        </w:rPr>
        <w:t xml:space="preserve">, al ascezei în vederea experierii harului baptismal, al renunţării minţii la toate preocupările minore, </w:t>
      </w:r>
      <w:r w:rsidRPr="00EA3B4B">
        <w:rPr>
          <w:rFonts w:cs="Times New Roman"/>
          <w:i/>
          <w:lang w:val="ro-RO"/>
        </w:rPr>
        <w:t xml:space="preserve">apofatismul de gradul al doilea </w:t>
      </w:r>
      <w:r w:rsidRPr="00EA3B4B">
        <w:rPr>
          <w:rFonts w:cs="Times New Roman"/>
          <w:lang w:val="ro-RO"/>
        </w:rPr>
        <w:t>înseamnă „experienţa sau simţirea misterului divin necuprins, starea de rugăciune indefinită şi iubirea caldă şi fermă faţă de Dumnezeu”, caracteristici care-l deosebesc de „teologia negativă, în care e activ mai mult intelectul”</w:t>
      </w:r>
      <w:r w:rsidRPr="00EA3B4B">
        <w:rPr>
          <w:rStyle w:val="FootnoteReference"/>
          <w:rFonts w:cs="Times New Roman"/>
          <w:lang w:val="ro-RO"/>
        </w:rPr>
        <w:footnoteReference w:id="99"/>
      </w:r>
      <w:r w:rsidRPr="00EA3B4B">
        <w:rPr>
          <w:rFonts w:cs="Times New Roman"/>
          <w:lang w:val="ro-RO"/>
        </w:rPr>
        <w:t>. Pentru cei care nu primesc darul vederii luminii dumnezeieşti, sau pentru perioadele când şi cei care au primit acest dar nu îl au în mod actual, vederea luminii dumnezeieşti nefiind o stare permanentă în lumea aceasta, „teologia negativă însoţită de oarecare simţire a energiilor dumnezeieşti produsă de rugăciune, e cea mai înaltă treaptă”</w:t>
      </w:r>
      <w:r w:rsidRPr="00EA3B4B">
        <w:rPr>
          <w:rStyle w:val="FootnoteReference"/>
          <w:rFonts w:cs="Times New Roman"/>
          <w:lang w:val="ro-RO"/>
        </w:rPr>
        <w:footnoteReference w:id="100"/>
      </w:r>
      <w:r w:rsidRPr="00EA3B4B">
        <w:rPr>
          <w:rFonts w:cs="Times New Roman"/>
          <w:lang w:val="ro-RO"/>
        </w:rPr>
        <w:t>.</w:t>
      </w:r>
    </w:p>
    <w:p w:rsidR="004D40C5" w:rsidRPr="00EA3B4B" w:rsidRDefault="004D40C5" w:rsidP="004D40C5">
      <w:pPr>
        <w:ind w:left="-567" w:right="-709" w:firstLine="851"/>
        <w:jc w:val="both"/>
        <w:rPr>
          <w:rFonts w:cs="Times New Roman"/>
          <w:i/>
          <w:lang w:val="ro-RO"/>
        </w:rPr>
      </w:pPr>
    </w:p>
    <w:p w:rsidR="004D40C5" w:rsidRPr="00EA3B4B" w:rsidRDefault="004D40C5" w:rsidP="004D40C5">
      <w:pPr>
        <w:ind w:left="-567" w:right="-709" w:firstLine="851"/>
        <w:jc w:val="both"/>
        <w:rPr>
          <w:rFonts w:cs="Times New Roman"/>
          <w:b/>
          <w:i/>
          <w:lang w:val="ro-RO"/>
        </w:rPr>
      </w:pPr>
      <w:r w:rsidRPr="00EA3B4B">
        <w:rPr>
          <w:rFonts w:cs="Times New Roman"/>
          <w:b/>
          <w:i/>
          <w:lang w:val="ro-RO"/>
        </w:rPr>
        <w:t>C. Apofatismul vederii luminii dumnezeieşti -o cunoaştere mai presus de cunoaştere, o cunoaştere supraconceptuală</w:t>
      </w:r>
    </w:p>
    <w:p w:rsidR="004D40C5" w:rsidRPr="00EA3B4B" w:rsidRDefault="004D40C5" w:rsidP="004D40C5">
      <w:pPr>
        <w:ind w:left="-567" w:right="-709" w:firstLine="851"/>
        <w:jc w:val="both"/>
        <w:rPr>
          <w:rFonts w:cs="Times New Roman"/>
          <w:b/>
          <w:i/>
          <w:lang w:val="ro-RO"/>
        </w:rPr>
      </w:pPr>
    </w:p>
    <w:p w:rsidR="004D40C5" w:rsidRPr="00EA3B4B" w:rsidRDefault="004D40C5" w:rsidP="004D40C5">
      <w:pPr>
        <w:ind w:left="-567" w:right="-709" w:firstLine="851"/>
        <w:jc w:val="both"/>
        <w:rPr>
          <w:rFonts w:cs="Times New Roman"/>
          <w:lang w:val="ro-RO"/>
        </w:rPr>
      </w:pPr>
      <w:r w:rsidRPr="00EA3B4B">
        <w:rPr>
          <w:rFonts w:cs="Times New Roman"/>
          <w:lang w:val="ro-RO"/>
        </w:rPr>
        <w:t>Tema luminii dumnezeieşti a avut o deosebită importanţă în creştinism încă de la început</w:t>
      </w:r>
      <w:r w:rsidRPr="00EA3B4B">
        <w:rPr>
          <w:rStyle w:val="FootnoteReference"/>
          <w:rFonts w:cs="Times New Roman"/>
          <w:lang w:val="ro-RO"/>
        </w:rPr>
        <w:footnoteReference w:id="101"/>
      </w:r>
      <w:r w:rsidRPr="00EA3B4B">
        <w:rPr>
          <w:rFonts w:cs="Times New Roman"/>
          <w:lang w:val="ro-RO"/>
        </w:rPr>
        <w:t>. Sfântul Apostol şi Evanghelist Ioan ne spune că: „</w:t>
      </w:r>
      <w:r w:rsidRPr="00EA3B4B">
        <w:rPr>
          <w:rFonts w:cs="Times New Roman"/>
          <w:i/>
          <w:lang w:val="ro-RO"/>
        </w:rPr>
        <w:t>Dumnezeu este lumină şi întru El nu-i nici un întuneric</w:t>
      </w:r>
      <w:r w:rsidRPr="00EA3B4B">
        <w:rPr>
          <w:rFonts w:cs="Times New Roman"/>
          <w:lang w:val="ro-RO"/>
        </w:rPr>
        <w:t xml:space="preserve">” (1 In. 1, 5). Hristos Domnul este Lumina lumii (In. 8, 12) şi i-a trimis pe discipoli să fie şi ei lumină (Mt. 5, 14-16). Simbolul de credinţă niceo-constantinopolitan Îl prezintă pe Fiul ca „Lumină din Lumină”. În </w:t>
      </w:r>
      <w:r w:rsidRPr="00EA3B4B">
        <w:rPr>
          <w:rFonts w:cs="Times New Roman"/>
          <w:lang w:val="ro-RO"/>
        </w:rPr>
        <w:lastRenderedPageBreak/>
        <w:t>imnografia Bisericii Ortodoxe, Dumnezeu este slăvit adesea ca lumină. Tatăl şi Fiul şi Sfântul Duh sunt lumina cea întreită, de la care întreaga creaţie primeşte lumina</w:t>
      </w:r>
      <w:r w:rsidRPr="00EA3B4B">
        <w:rPr>
          <w:rStyle w:val="FootnoteReference"/>
          <w:rFonts w:cs="Times New Roman"/>
          <w:lang w:val="ro-RO"/>
        </w:rPr>
        <w:footnoteReference w:id="102"/>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Vederea lui Dumnezeu ca lumină este în mod sigur componenta caracteristică a misticii Sfântului Simeon Noul Teolog</w:t>
      </w:r>
      <w:r w:rsidRPr="00EA3B4B">
        <w:rPr>
          <w:rStyle w:val="FootnoteReference"/>
          <w:rFonts w:cs="Times New Roman"/>
          <w:lang w:val="ro-RO"/>
        </w:rPr>
        <w:footnoteReference w:id="103"/>
      </w:r>
      <w:r w:rsidRPr="00EA3B4B">
        <w:rPr>
          <w:rFonts w:cs="Times New Roman"/>
          <w:lang w:val="ro-RO"/>
        </w:rPr>
        <w:t>. Această temă este atinsă în aproape toată opera sa, fie proză, fie poezie, iar terminologia aferentă este dezvoltată incomparabil mai mult decât la oricare alt scriitor bizantin anterior</w:t>
      </w:r>
      <w:r w:rsidRPr="00EA3B4B">
        <w:rPr>
          <w:rStyle w:val="FootnoteReference"/>
          <w:rFonts w:cs="Times New Roman"/>
          <w:lang w:val="ro-RO"/>
        </w:rPr>
        <w:footnoteReference w:id="104"/>
      </w:r>
      <w:r w:rsidRPr="00EA3B4B">
        <w:rPr>
          <w:rFonts w:cs="Times New Roman"/>
          <w:lang w:val="ro-RO"/>
        </w:rPr>
        <w:t xml:space="preserve">. Mai mult, Sfântul Simeon, vorbind despre vederea luminii dumnezeieşti, îşi descrie propria experienţă într-un mod original. Înainte de a sublinia această originalitate este necesară o succintă prezentare a modului abordării acestei teme la anumiţi scriitori anteriori. Tema vederii luminii este un </w:t>
      </w:r>
      <w:r w:rsidRPr="00EA3B4B">
        <w:rPr>
          <w:rFonts w:cs="Times New Roman"/>
          <w:i/>
          <w:lang w:val="ro-RO"/>
        </w:rPr>
        <w:t xml:space="preserve">cantus firmus </w:t>
      </w:r>
      <w:r w:rsidRPr="00EA3B4B">
        <w:rPr>
          <w:rFonts w:cs="Times New Roman"/>
          <w:lang w:val="ro-RO"/>
        </w:rPr>
        <w:t xml:space="preserve">al operei evagriene. Un pasaj autobiografic din </w:t>
      </w:r>
      <w:r w:rsidRPr="00EA3B4B">
        <w:rPr>
          <w:rFonts w:cs="Times New Roman"/>
          <w:i/>
          <w:lang w:val="ro-RO"/>
        </w:rPr>
        <w:t>Antirretikos</w:t>
      </w:r>
      <w:r w:rsidRPr="00EA3B4B">
        <w:rPr>
          <w:rFonts w:cs="Times New Roman"/>
          <w:lang w:val="ro-RO"/>
        </w:rPr>
        <w:t xml:space="preserve"> este dedicat „sfintei lumini” care este văzută de ochii intelectului: „Eu şi slujitorul lui Dumnezeu Ammonios am dorit să aflăm despre lumină: de unde provine. De aceea l-am întrebat pe Sfântul Ioan din Tebaida dacă natura intelectului [</w:t>
      </w:r>
      <w:r w:rsidRPr="00EA3B4B">
        <w:rPr>
          <w:rFonts w:cs="Times New Roman"/>
          <w:i/>
          <w:lang w:val="ro-RO"/>
        </w:rPr>
        <w:t>nous</w:t>
      </w:r>
      <w:r w:rsidRPr="00EA3B4B">
        <w:rPr>
          <w:rFonts w:cs="Times New Roman"/>
          <w:lang w:val="ro-RO"/>
        </w:rPr>
        <w:t>] este radiantă şi lumina provine din însuşi intelectul, sau altceva apare din afară şi-l iluminează. El a răspuns: «Omul este incapabil să discearnă; totuşi, fără harul lui Dumnezeu, intelectul nu poate fi iluminat în timpul rugăciunii»”</w:t>
      </w:r>
      <w:r w:rsidRPr="00EA3B4B">
        <w:rPr>
          <w:rStyle w:val="FootnoteReference"/>
          <w:rFonts w:cs="Times New Roman"/>
          <w:lang w:val="ro-RO"/>
        </w:rPr>
        <w:footnoteReference w:id="105"/>
      </w:r>
      <w:r w:rsidRPr="00EA3B4B">
        <w:rPr>
          <w:rFonts w:cs="Times New Roman"/>
          <w:lang w:val="ro-RO"/>
        </w:rPr>
        <w:t>.</w:t>
      </w:r>
      <w:r w:rsidRPr="00EA3B4B">
        <w:rPr>
          <w:rStyle w:val="FootnoteCharacters"/>
          <w:rFonts w:cs="Times New Roman"/>
          <w:lang w:val="ro-RO"/>
        </w:rPr>
        <w:t xml:space="preserve"> </w:t>
      </w:r>
      <w:r w:rsidRPr="00EA3B4B">
        <w:rPr>
          <w:rFonts w:cs="Times New Roman"/>
          <w:lang w:val="ro-RO"/>
        </w:rPr>
        <w:t>Întrebarea este extrem de importantă: lumina pe care o văd asceţii este o manifestare a strălucirii iniţiale a intelectului, sau este o lumină de origine dumnezeiască? Potrivit lui Evagrie, este în primul rând „lumina binecuvântată a Sfintei Treimi” (</w:t>
      </w:r>
      <w:r w:rsidRPr="00EA3B4B">
        <w:rPr>
          <w:rFonts w:cs="Times New Roman"/>
          <w:i/>
          <w:lang w:val="ro-RO"/>
        </w:rPr>
        <w:t>to makarion phos tes aghias Triados</w:t>
      </w:r>
      <w:r w:rsidRPr="00EA3B4B">
        <w:rPr>
          <w:rFonts w:cs="Times New Roman"/>
          <w:lang w:val="ro-RO"/>
        </w:rPr>
        <w:t>)</w:t>
      </w:r>
      <w:r w:rsidRPr="00EA3B4B">
        <w:rPr>
          <w:rStyle w:val="FootnoteReference"/>
          <w:rFonts w:cs="Times New Roman"/>
          <w:lang w:val="ro-RO"/>
        </w:rPr>
        <w:footnoteReference w:id="106"/>
      </w:r>
      <w:r w:rsidRPr="00EA3B4B">
        <w:rPr>
          <w:rFonts w:cs="Times New Roman"/>
          <w:lang w:val="ro-RO"/>
        </w:rPr>
        <w:t>, deoarece „Dumnezeu este lumină prin natura Sa”</w:t>
      </w:r>
      <w:r w:rsidRPr="00EA3B4B">
        <w:rPr>
          <w:rStyle w:val="FootnoteReference"/>
          <w:rFonts w:cs="Times New Roman"/>
          <w:lang w:val="ro-RO"/>
        </w:rPr>
        <w:footnoteReference w:id="107"/>
      </w:r>
      <w:r w:rsidRPr="00EA3B4B">
        <w:rPr>
          <w:rFonts w:cs="Times New Roman"/>
          <w:lang w:val="ro-RO"/>
        </w:rPr>
        <w:t>; dar în acelaşi timp este lumina intelectului uman, propria sa strălucire (</w:t>
      </w:r>
      <w:r w:rsidRPr="00EA3B4B">
        <w:rPr>
          <w:rFonts w:cs="Times New Roman"/>
          <w:i/>
          <w:lang w:val="ro-RO"/>
        </w:rPr>
        <w:t>to oikeion pheggos tou nou</w:t>
      </w:r>
      <w:r w:rsidRPr="00EA3B4B">
        <w:rPr>
          <w:rFonts w:cs="Times New Roman"/>
          <w:lang w:val="ro-RO"/>
        </w:rPr>
        <w:t>)</w:t>
      </w:r>
      <w:r w:rsidRPr="00EA3B4B">
        <w:rPr>
          <w:rStyle w:val="FootnoteReference"/>
          <w:rFonts w:cs="Times New Roman"/>
          <w:lang w:val="ro-RO"/>
        </w:rPr>
        <w:footnoteReference w:id="108"/>
      </w:r>
      <w:r w:rsidRPr="00EA3B4B">
        <w:rPr>
          <w:rFonts w:cs="Times New Roman"/>
          <w:i/>
          <w:lang w:val="ro-RO"/>
        </w:rPr>
        <w:t>.</w:t>
      </w:r>
      <w:r w:rsidRPr="00EA3B4B">
        <w:rPr>
          <w:rFonts w:cs="Times New Roman"/>
          <w:lang w:val="ro-RO"/>
        </w:rPr>
        <w:t xml:space="preserve"> Între cele două lumini, dumnezeiască şi omenească, există o „înrudire”: întrucât intelectul (</w:t>
      </w:r>
      <w:r w:rsidRPr="00EA3B4B">
        <w:rPr>
          <w:rFonts w:cs="Times New Roman"/>
          <w:i/>
          <w:lang w:val="ro-RO"/>
        </w:rPr>
        <w:t>noun</w:t>
      </w:r>
      <w:r w:rsidRPr="00EA3B4B">
        <w:rPr>
          <w:rFonts w:cs="Times New Roman"/>
          <w:lang w:val="ro-RO"/>
        </w:rPr>
        <w:t>) este creat după chipul lui Dumnezeu, lumina lui este în „legătură cu El”</w:t>
      </w:r>
      <w:r w:rsidRPr="00EA3B4B">
        <w:rPr>
          <w:rFonts w:cs="Times New Roman"/>
          <w:i/>
          <w:lang w:val="ro-RO"/>
        </w:rPr>
        <w:t xml:space="preserve"> </w:t>
      </w:r>
      <w:r w:rsidRPr="00EA3B4B">
        <w:rPr>
          <w:rFonts w:cs="Times New Roman"/>
          <w:lang w:val="ro-RO"/>
        </w:rPr>
        <w:t>(</w:t>
      </w:r>
      <w:r w:rsidRPr="00EA3B4B">
        <w:rPr>
          <w:rFonts w:cs="Times New Roman"/>
          <w:i/>
          <w:lang w:val="ro-RO"/>
        </w:rPr>
        <w:t>auto to syggenes phos</w:t>
      </w:r>
      <w:r w:rsidRPr="00EA3B4B">
        <w:rPr>
          <w:rFonts w:cs="Times New Roman"/>
          <w:lang w:val="ro-RO"/>
        </w:rPr>
        <w:t>)</w:t>
      </w:r>
      <w:r w:rsidRPr="00EA3B4B">
        <w:rPr>
          <w:rFonts w:cs="Times New Roman"/>
          <w:i/>
          <w:lang w:val="ro-RO"/>
        </w:rPr>
        <w:t xml:space="preserve">. </w:t>
      </w:r>
      <w:r w:rsidRPr="00EA3B4B">
        <w:rPr>
          <w:rFonts w:cs="Times New Roman"/>
          <w:lang w:val="ro-RO"/>
        </w:rPr>
        <w:t xml:space="preserve">Concepţia evagriană despre lumină poate fi redusă la următoarele idei principale, foarte importante pentru dezvoltarea patristică a doctrinei despre vederea luminii: intelectul vede </w:t>
      </w:r>
      <w:r w:rsidRPr="00EA3B4B">
        <w:rPr>
          <w:rFonts w:cs="Times New Roman"/>
          <w:i/>
          <w:lang w:val="ro-RO"/>
        </w:rPr>
        <w:t>lumina sa naturală</w:t>
      </w:r>
      <w:r w:rsidRPr="00EA3B4B">
        <w:rPr>
          <w:rFonts w:cs="Times New Roman"/>
          <w:lang w:val="ro-RO"/>
        </w:rPr>
        <w:t xml:space="preserve"> în timpul rugăciunii; vede</w:t>
      </w:r>
      <w:r w:rsidRPr="00EA3B4B">
        <w:rPr>
          <w:rFonts w:cs="Times New Roman"/>
          <w:i/>
          <w:lang w:val="ro-RO"/>
        </w:rPr>
        <w:t xml:space="preserve"> lumina dumnezeiască</w:t>
      </w:r>
      <w:r w:rsidRPr="00EA3B4B">
        <w:rPr>
          <w:rFonts w:cs="Times New Roman"/>
          <w:lang w:val="ro-RO"/>
        </w:rPr>
        <w:t>, care este lumina Sfintei Treimi; vede</w:t>
      </w:r>
      <w:r w:rsidRPr="00EA3B4B">
        <w:rPr>
          <w:rFonts w:cs="Times New Roman"/>
          <w:i/>
          <w:lang w:val="ro-RO"/>
        </w:rPr>
        <w:t xml:space="preserve"> frumuseţea sufletului</w:t>
      </w:r>
      <w:r w:rsidRPr="00EA3B4B">
        <w:rPr>
          <w:rFonts w:cs="Times New Roman"/>
          <w:lang w:val="ro-RO"/>
        </w:rPr>
        <w:t>; este unit cu lumina Sfintei Treimii</w:t>
      </w:r>
      <w:r w:rsidRPr="00EA3B4B">
        <w:rPr>
          <w:rStyle w:val="FootnoteReference"/>
          <w:rFonts w:cs="Times New Roman"/>
          <w:lang w:val="ro-RO"/>
        </w:rPr>
        <w:footnoteReference w:id="10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În </w:t>
      </w:r>
      <w:r w:rsidRPr="00EA3B4B">
        <w:rPr>
          <w:rFonts w:cs="Times New Roman"/>
          <w:i/>
          <w:lang w:val="ro-RO"/>
        </w:rPr>
        <w:t>Omiliile macariene</w:t>
      </w:r>
      <w:r w:rsidRPr="00EA3B4B">
        <w:rPr>
          <w:rFonts w:cs="Times New Roman"/>
          <w:lang w:val="ro-RO"/>
        </w:rPr>
        <w:t xml:space="preserve"> se întâlnesc câteva pasaje referitoare la vederea luminii dumnezeieşti. Într-unul dintre acestea se afirmă că Cel invizibil poate fi văzut de cel vrednic care poate „gusta dulceaţa Sa” şi se poate împărtăşi de experierea bunătăţii luminii inefabilei bucurii</w:t>
      </w:r>
      <w:r w:rsidRPr="00EA3B4B">
        <w:rPr>
          <w:rStyle w:val="FootnoteReference"/>
          <w:rFonts w:cs="Times New Roman"/>
          <w:lang w:val="ro-RO"/>
        </w:rPr>
        <w:footnoteReference w:id="110"/>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La Sfântul Maxim Mărturisitorul, tema vederii luminii dumnezeieşti deţine un loc foarte important. El descrie starea intelectului atunci când, fiind plin de „dorinţa iubirii” (</w:t>
      </w:r>
      <w:r w:rsidRPr="00EA3B4B">
        <w:rPr>
          <w:rFonts w:cs="Times New Roman"/>
          <w:i/>
          <w:lang w:val="ro-RO"/>
        </w:rPr>
        <w:t>eros tes agapes</w:t>
      </w:r>
      <w:r w:rsidRPr="00EA3B4B">
        <w:rPr>
          <w:rFonts w:cs="Times New Roman"/>
          <w:lang w:val="ro-RO"/>
        </w:rPr>
        <w:t>) pentru Dumnezeu, iese din sine, „căci luminată fiind de lumina dumnezeiască cea nemărginită, părăseşte simţirea faţă de toate cele făcute de Dumnezeu, precum şi ochiul sensibil nu mai vede stelele când răsare soarele”</w:t>
      </w:r>
      <w:r w:rsidRPr="00EA3B4B">
        <w:rPr>
          <w:rStyle w:val="FootnoteReference"/>
          <w:rFonts w:cs="Times New Roman"/>
          <w:lang w:val="ro-RO"/>
        </w:rPr>
        <w:footnoteReference w:id="111"/>
      </w:r>
      <w:r w:rsidRPr="00EA3B4B">
        <w:rPr>
          <w:rFonts w:cs="Times New Roman"/>
          <w:lang w:val="ro-RO"/>
        </w:rPr>
        <w:t>. Cea mai înaltă stare a minţii este atunci când se găseşte pe sine în lumina Sfintei Treimi. Iluminarea mistică se petrece în timpul rugăciunii curate. Atingând acest stadiu, intelectul devine total transfigurat. Această transfigurare este descrisă ca „îmbinare”, „mintea este total îmbinată cu lumina Duhului Sfânt” (</w:t>
      </w:r>
      <w:r w:rsidRPr="00EA3B4B">
        <w:rPr>
          <w:rFonts w:cs="Times New Roman"/>
          <w:i/>
          <w:lang w:val="ro-RO"/>
        </w:rPr>
        <w:t>holo gar to photi tou Pneumatos o nous egkratheis</w:t>
      </w:r>
      <w:r w:rsidRPr="00EA3B4B">
        <w:rPr>
          <w:rFonts w:cs="Times New Roman"/>
          <w:lang w:val="ro-RO"/>
        </w:rPr>
        <w:t>)</w:t>
      </w:r>
      <w:r w:rsidRPr="00EA3B4B">
        <w:rPr>
          <w:rStyle w:val="FootnoteReference"/>
          <w:rFonts w:cs="Times New Roman"/>
          <w:lang w:val="ro-RO"/>
        </w:rPr>
        <w:footnoteReference w:id="112"/>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lastRenderedPageBreak/>
        <w:t>Chiar dacă au existat predecesori, originalitatea Sfântului Simeon Noul Teolog nu poate fi contestată. Ne referim atât la modul specific de exprimare, folosirea persoanei întâi de către mistici fiind neobişnuită în Răsărit, cât şi la conţinut. Sfântul Simeon distinge vederea „din afară” de vederea „din interior”, ultima fiind cea mai intensă şi încântătoare. Totuşi, în ambele cazuri este vorba de lumina dumnezeiască necreată, nu de cea naturală a intelectului.</w:t>
      </w:r>
    </w:p>
    <w:p w:rsidR="004D40C5" w:rsidRPr="00EA3B4B" w:rsidRDefault="004D40C5" w:rsidP="004D40C5">
      <w:pPr>
        <w:ind w:left="-567" w:right="-709" w:firstLine="851"/>
        <w:jc w:val="both"/>
        <w:rPr>
          <w:rFonts w:cs="Times New Roman"/>
          <w:lang w:val="ro-RO"/>
        </w:rPr>
      </w:pPr>
      <w:r w:rsidRPr="00EA3B4B">
        <w:rPr>
          <w:rFonts w:cs="Times New Roman"/>
          <w:lang w:val="ro-RO"/>
        </w:rPr>
        <w:t>Lumina descrisă este imaterială (</w:t>
      </w:r>
      <w:r w:rsidRPr="00EA3B4B">
        <w:rPr>
          <w:rFonts w:cs="Times New Roman"/>
          <w:i/>
          <w:lang w:val="ro-RO"/>
        </w:rPr>
        <w:t>ahylosi</w:t>
      </w:r>
      <w:r w:rsidRPr="00EA3B4B">
        <w:rPr>
          <w:rFonts w:cs="Times New Roman"/>
          <w:lang w:val="ro-RO"/>
        </w:rPr>
        <w:t>), simplă, fără formă, necompusă, netrupească</w:t>
      </w:r>
      <w:r w:rsidRPr="00EA3B4B">
        <w:rPr>
          <w:rStyle w:val="FootnoteReference"/>
          <w:rFonts w:cs="Times New Roman"/>
          <w:lang w:val="ro-RO"/>
        </w:rPr>
        <w:footnoteReference w:id="113"/>
      </w:r>
      <w:r w:rsidRPr="00EA3B4B">
        <w:rPr>
          <w:rFonts w:cs="Times New Roman"/>
          <w:lang w:val="ro-RO"/>
        </w:rPr>
        <w:t>. Folosind expresii apofatice accentuează că lumina este dincolo de orice categorii, de materie şi formă, dar şi dincolo de exprimarea şi înţelegerea omenească. Este inteligibilă, deci are efect în primul rând asupra minţii, stăluceşte în aceasta, o purifică, o iluminează, o răpeşte în ekstaz la Dumnezeu. Spre deosebire de Evagrie şi de alţi predecesori, Sfântul Simeon nu vorbeşte despre lumina naturală a minţii, ci numai despre lumina dumnezeiască care iluminează mintea din afară sau dinlăuntru.</w:t>
      </w:r>
    </w:p>
    <w:p w:rsidR="004D40C5" w:rsidRPr="00EA3B4B" w:rsidRDefault="004D40C5" w:rsidP="004D40C5">
      <w:pPr>
        <w:ind w:left="-567" w:right="-709" w:firstLine="851"/>
        <w:jc w:val="both"/>
        <w:rPr>
          <w:rFonts w:cs="Times New Roman"/>
          <w:lang w:val="ro-RO"/>
        </w:rPr>
      </w:pPr>
      <w:r w:rsidRPr="00EA3B4B">
        <w:rPr>
          <w:rFonts w:cs="Times New Roman"/>
          <w:lang w:val="ro-RO"/>
        </w:rPr>
        <w:t>Lumina dumnezeiască este Dumnezeu Însuşi în descoperirea Sa persoanei umane. „Lumina Ta, Dumnezeul meu, eşti Tu”</w:t>
      </w:r>
      <w:r w:rsidRPr="00EA3B4B">
        <w:rPr>
          <w:rStyle w:val="FootnoteReference"/>
          <w:rFonts w:cs="Times New Roman"/>
          <w:lang w:val="ro-RO"/>
        </w:rPr>
        <w:footnoteReference w:id="114"/>
      </w:r>
      <w:r w:rsidRPr="00EA3B4B">
        <w:rPr>
          <w:rFonts w:cs="Times New Roman"/>
          <w:lang w:val="ro-RO"/>
        </w:rPr>
        <w:t>. „Omul poartă în chip ştiut [conştient] în el însuşi ca lumină pe Dumnezeu, Care a adus la existenţă şi a creat toate şi chiar pe cel care-L poartă; Îl poartă înlăuntrul său ca pe o comoară de negrăit, de nerostit, fără cantitate, fără chip, fără materie, fără înfăţişare, configurat într-o frumuseţe netâlcuită, în întregime simplu, ca o lumină mai presus de orice lumină”</w:t>
      </w:r>
      <w:r w:rsidRPr="00EA3B4B">
        <w:rPr>
          <w:rStyle w:val="FootnoteReference"/>
          <w:rFonts w:cs="Times New Roman"/>
          <w:lang w:val="ro-RO"/>
        </w:rPr>
        <w:footnoteReference w:id="115"/>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Ca şi misticii siriaci, lumina este identificată uneori cu Sfânta Treime</w:t>
      </w:r>
      <w:r w:rsidRPr="00EA3B4B">
        <w:rPr>
          <w:rStyle w:val="FootnoteCharacters"/>
          <w:rFonts w:cs="Times New Roman"/>
          <w:lang w:val="ro-RO"/>
        </w:rPr>
        <w:footnoteReference w:id="116"/>
      </w:r>
      <w:r w:rsidRPr="00EA3B4B">
        <w:rPr>
          <w:rFonts w:cs="Times New Roman"/>
          <w:lang w:val="ro-RO"/>
        </w:rPr>
        <w:t>, sau cu Duhul Sfânt</w:t>
      </w:r>
      <w:r w:rsidRPr="00EA3B4B">
        <w:rPr>
          <w:rStyle w:val="FootnoteReference"/>
          <w:rFonts w:cs="Times New Roman"/>
          <w:lang w:val="ro-RO"/>
        </w:rPr>
        <w:footnoteReference w:id="117"/>
      </w:r>
      <w:r w:rsidRPr="00EA3B4B">
        <w:rPr>
          <w:rFonts w:cs="Times New Roman"/>
          <w:lang w:val="ro-RO"/>
        </w:rPr>
        <w:t>. Foarte des vorbeşte despre vederea lui Hristos în lumină</w:t>
      </w:r>
      <w:r w:rsidRPr="00EA3B4B">
        <w:rPr>
          <w:rStyle w:val="FootnoteReference"/>
          <w:rFonts w:cs="Times New Roman"/>
          <w:lang w:val="ro-RO"/>
        </w:rPr>
        <w:footnoteReference w:id="118"/>
      </w:r>
      <w:r w:rsidRPr="00EA3B4B">
        <w:rPr>
          <w:rFonts w:cs="Times New Roman"/>
          <w:lang w:val="ro-RO"/>
        </w:rPr>
        <w:t>. Vederea este posibilă datorită „ochilor minţii”</w:t>
      </w:r>
      <w:r w:rsidRPr="00EA3B4B">
        <w:rPr>
          <w:rFonts w:cs="Times New Roman"/>
          <w:i/>
          <w:lang w:val="ro-RO"/>
        </w:rPr>
        <w:t xml:space="preserve"> </w:t>
      </w:r>
      <w:r w:rsidRPr="00EA3B4B">
        <w:rPr>
          <w:rFonts w:cs="Times New Roman"/>
          <w:lang w:val="ro-RO"/>
        </w:rPr>
        <w:t>(</w:t>
      </w:r>
      <w:r w:rsidRPr="00EA3B4B">
        <w:rPr>
          <w:rFonts w:cs="Times New Roman"/>
          <w:i/>
          <w:lang w:val="ro-RO"/>
        </w:rPr>
        <w:t>ophthalmos tou noos</w:t>
      </w:r>
      <w:r w:rsidRPr="00EA3B4B">
        <w:rPr>
          <w:rFonts w:cs="Times New Roman"/>
          <w:lang w:val="ro-RO"/>
        </w:rPr>
        <w:t>), „ochilor inteligibili ai inimii”</w:t>
      </w:r>
      <w:r w:rsidRPr="00EA3B4B">
        <w:rPr>
          <w:rFonts w:cs="Times New Roman"/>
          <w:i/>
          <w:lang w:val="ro-RO"/>
        </w:rPr>
        <w:t xml:space="preserve"> </w:t>
      </w:r>
      <w:r w:rsidRPr="00EA3B4B">
        <w:rPr>
          <w:rFonts w:cs="Times New Roman"/>
          <w:lang w:val="ro-RO"/>
        </w:rPr>
        <w:t>(</w:t>
      </w:r>
      <w:r w:rsidRPr="00EA3B4B">
        <w:rPr>
          <w:rFonts w:cs="Times New Roman"/>
          <w:i/>
          <w:lang w:val="ro-RO"/>
        </w:rPr>
        <w:t>ophtalmoi noeroi tes kardias</w:t>
      </w:r>
      <w:r w:rsidRPr="00EA3B4B">
        <w:rPr>
          <w:rFonts w:cs="Times New Roman"/>
          <w:lang w:val="ro-RO"/>
        </w:rPr>
        <w:t>). Pentru a vedea lumina dumnezeiască cu ochii trupeşti, aşa cum au văzut-o ucenicii pe Muntele Tabor, trebuie să participi la această lumină, să fii transformat de ea într-o oarecare măsură</w:t>
      </w:r>
      <w:r w:rsidRPr="00EA3B4B">
        <w:rPr>
          <w:rStyle w:val="FootnoteReference"/>
          <w:rFonts w:cs="Times New Roman"/>
          <w:lang w:val="ro-RO"/>
        </w:rPr>
        <w:footnoteReference w:id="119"/>
      </w:r>
      <w:r w:rsidRPr="00EA3B4B">
        <w:rPr>
          <w:rFonts w:cs="Times New Roman"/>
          <w:lang w:val="ro-RO"/>
        </w:rPr>
        <w:t>. „Cel care participă la energia divină (…) devine el însuşi, într-un anume fel, lumină; el este unit cu Lumina şi cu Lumina vede deplin conştient tot ceea ce rămâne ascuns celor care nu au acest har; el depăşeşte astfel nu numai simţurile trupeşti, ci şi tot ceea ce poate fi cunoscut (raţional)”</w:t>
      </w:r>
      <w:r w:rsidRPr="00EA3B4B">
        <w:rPr>
          <w:rStyle w:val="FootnoteReference"/>
          <w:rFonts w:cs="Times New Roman"/>
          <w:lang w:val="ro-RO"/>
        </w:rPr>
        <w:footnoteReference w:id="120"/>
      </w:r>
      <w:r w:rsidRPr="00EA3B4B">
        <w:rPr>
          <w:rFonts w:cs="Times New Roman"/>
          <w:lang w:val="ro-RO"/>
        </w:rPr>
        <w:t>. Experienţa Sfântului Simeon demonstrează că întreaga fiinţă umană: mintea, sufletul, dar şi trupul, este transfigurată de lumina dumnezeiască. Este un aspect esenţial la care revine constant:</w:t>
      </w:r>
    </w:p>
    <w:p w:rsidR="004D40C5" w:rsidRPr="00EA3B4B" w:rsidRDefault="004D40C5" w:rsidP="004D40C5">
      <w:pPr>
        <w:ind w:left="-567" w:right="-709" w:firstLine="851"/>
        <w:jc w:val="center"/>
        <w:rPr>
          <w:rFonts w:cs="Times New Roman"/>
          <w:i/>
          <w:lang w:val="ro-RO"/>
        </w:rPr>
      </w:pPr>
      <w:r w:rsidRPr="00EA3B4B">
        <w:rPr>
          <w:rFonts w:cs="Times New Roman"/>
          <w:lang w:val="ro-RO"/>
        </w:rPr>
        <w:t>„</w:t>
      </w:r>
      <w:r w:rsidRPr="00EA3B4B">
        <w:rPr>
          <w:rFonts w:cs="Times New Roman"/>
          <w:i/>
          <w:lang w:val="ro-RO"/>
        </w:rPr>
        <w:t>Şi va străluci şi trupul tău, cu sufletul tău,</w:t>
      </w:r>
    </w:p>
    <w:p w:rsidR="004D40C5" w:rsidRPr="00EA3B4B" w:rsidRDefault="004D40C5" w:rsidP="004D40C5">
      <w:pPr>
        <w:ind w:left="-567" w:right="-709" w:firstLine="851"/>
        <w:jc w:val="center"/>
        <w:rPr>
          <w:rFonts w:cs="Times New Roman"/>
          <w:i/>
          <w:lang w:val="ro-RO"/>
        </w:rPr>
      </w:pPr>
      <w:r w:rsidRPr="00EA3B4B">
        <w:rPr>
          <w:rFonts w:cs="Times New Roman"/>
          <w:i/>
          <w:lang w:val="ro-RO"/>
        </w:rPr>
        <w:t>iar sufletul, la rândul lui, va străluci fulgerător,</w:t>
      </w:r>
    </w:p>
    <w:p w:rsidR="004D40C5" w:rsidRPr="00EA3B4B" w:rsidRDefault="004D40C5" w:rsidP="004D40C5">
      <w:pPr>
        <w:ind w:left="-567" w:right="-709" w:firstLine="851"/>
        <w:jc w:val="center"/>
        <w:rPr>
          <w:rFonts w:cs="Times New Roman"/>
          <w:lang w:val="ro-RO"/>
        </w:rPr>
      </w:pPr>
      <w:r w:rsidRPr="00EA3B4B">
        <w:rPr>
          <w:rFonts w:cs="Times New Roman"/>
          <w:i/>
          <w:lang w:val="ro-RO"/>
        </w:rPr>
        <w:t>cu harul strălucitor, asemenea lui Dumnezeu</w:t>
      </w:r>
      <w:r w:rsidRPr="00EA3B4B">
        <w:rPr>
          <w:rFonts w:cs="Times New Roman"/>
          <w:lang w:val="ro-RO"/>
        </w:rPr>
        <w:t>”</w:t>
      </w:r>
      <w:r w:rsidRPr="00EA3B4B">
        <w:rPr>
          <w:rStyle w:val="FootnoteReference"/>
          <w:rFonts w:cs="Times New Roman"/>
          <w:lang w:val="ro-RO"/>
        </w:rPr>
        <w:footnoteReference w:id="121"/>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Pentru a reliefa tema vederii luminii dumnezeieşti în opera Sfântului Grigorie Palama, este necesară o succintă prezentare a contextului cultural. Părintele Stăniloae afirma că isihasmul a fost şi o „reacţiune viguroasă a organismului creştin împotriva </w:t>
      </w:r>
      <w:r w:rsidRPr="00EA3B4B">
        <w:rPr>
          <w:rFonts w:cs="Times New Roman"/>
          <w:i/>
          <w:lang w:val="ro-RO"/>
        </w:rPr>
        <w:t>Renaşterii</w:t>
      </w:r>
      <w:r w:rsidRPr="00EA3B4B">
        <w:rPr>
          <w:rFonts w:cs="Times New Roman"/>
          <w:lang w:val="ro-RO"/>
        </w:rPr>
        <w:t xml:space="preserve"> care a început întâi în Răsărit, reacţiune care împreună cu alte împrejurări a stăvilit progresul bolii. În Apus, unde această reacţiune puternică nu s-a produs, pentru că lipseau izvoarele de vitalitate în Biserică, torentul clasicismului a trecut peste toate digurile, asistând de atunci până azi, la reluarea luptei, la spectacolul celei mai desmăţate dominaţii a raţiunii”</w:t>
      </w:r>
      <w:r w:rsidRPr="00EA3B4B">
        <w:rPr>
          <w:rStyle w:val="FootnoteReference"/>
          <w:rFonts w:cs="Times New Roman"/>
          <w:lang w:val="ro-RO"/>
        </w:rPr>
        <w:footnoteReference w:id="122"/>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În studiul intitulat:</w:t>
      </w:r>
      <w:r w:rsidRPr="00EA3B4B">
        <w:rPr>
          <w:rFonts w:cs="Times New Roman"/>
          <w:i/>
          <w:lang w:val="ro-RO"/>
        </w:rPr>
        <w:t xml:space="preserve"> </w:t>
      </w:r>
      <w:r w:rsidRPr="00EA3B4B">
        <w:rPr>
          <w:rFonts w:cs="Times New Roman"/>
          <w:lang w:val="ro-RO"/>
        </w:rPr>
        <w:t>„Double knowledge according to Grigory Palamas”</w:t>
      </w:r>
      <w:r w:rsidRPr="00EA3B4B">
        <w:rPr>
          <w:rStyle w:val="FootnoteReference"/>
          <w:rFonts w:cs="Times New Roman"/>
          <w:lang w:val="ro-RO"/>
        </w:rPr>
        <w:footnoteReference w:id="123"/>
      </w:r>
      <w:r w:rsidRPr="00EA3B4B">
        <w:rPr>
          <w:rFonts w:cs="Times New Roman"/>
          <w:lang w:val="ro-RO"/>
        </w:rPr>
        <w:t>, P.C. Christou, face o analiză utilă, pe care o prezentăm sintetic în continuare.</w:t>
      </w:r>
    </w:p>
    <w:p w:rsidR="004D40C5" w:rsidRPr="00EA3B4B" w:rsidRDefault="004D40C5" w:rsidP="004D40C5">
      <w:pPr>
        <w:ind w:left="-567" w:right="-709" w:firstLine="851"/>
        <w:jc w:val="both"/>
        <w:rPr>
          <w:rFonts w:cs="Times New Roman"/>
          <w:lang w:val="ro-RO"/>
        </w:rPr>
      </w:pPr>
      <w:r w:rsidRPr="00EA3B4B">
        <w:rPr>
          <w:rFonts w:cs="Times New Roman"/>
          <w:lang w:val="ro-RO"/>
        </w:rPr>
        <w:lastRenderedPageBreak/>
        <w:t xml:space="preserve">Sfântul Grigorie Palama a inclus în argumentaţie o serie de distincţii, printre care teoria sa despre </w:t>
      </w:r>
      <w:r w:rsidRPr="00EA3B4B">
        <w:rPr>
          <w:rFonts w:cs="Times New Roman"/>
          <w:i/>
          <w:lang w:val="ro-RO"/>
        </w:rPr>
        <w:t>dubla cunoaştere</w:t>
      </w:r>
      <w:r w:rsidRPr="00EA3B4B">
        <w:rPr>
          <w:rFonts w:cs="Times New Roman"/>
          <w:lang w:val="ro-RO"/>
        </w:rPr>
        <w:t xml:space="preserve"> ocupă un loc important. Prima distincţie este un rezultat al conflictului dintre învăţătura creştină şi filosofia greacă, a cărui istorie începe în perioada apostolică. Acest conflict apare din timp în timp, ajungând ca în perioada </w:t>
      </w:r>
      <w:r w:rsidRPr="00EA3B4B">
        <w:rPr>
          <w:rFonts w:cs="Times New Roman"/>
          <w:i/>
          <w:lang w:val="ro-RO"/>
        </w:rPr>
        <w:t xml:space="preserve">Renaşterii </w:t>
      </w:r>
      <w:r w:rsidRPr="00EA3B4B">
        <w:rPr>
          <w:rFonts w:cs="Times New Roman"/>
          <w:lang w:val="ro-RO"/>
        </w:rPr>
        <w:t>să domine viaţa intelectuală. Cu cât avansau studiile umaniste, cu atât era mai mare importanţa acordată factorului uman în privinţa cunoaşterii lui Dumnezeu; prin urmare, filosofia era apreciată tot mai mult</w:t>
      </w:r>
      <w:r w:rsidRPr="00EA3B4B">
        <w:rPr>
          <w:rStyle w:val="FootnoteReference"/>
          <w:rFonts w:cs="Times New Roman"/>
          <w:lang w:val="ro-RO"/>
        </w:rPr>
        <w:footnoteReference w:id="124"/>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Varlaam, unul dintre cei mai înzestraţi pionieri ai </w:t>
      </w:r>
      <w:r w:rsidRPr="00EA3B4B">
        <w:rPr>
          <w:rFonts w:cs="Times New Roman"/>
          <w:i/>
          <w:lang w:val="ro-RO"/>
        </w:rPr>
        <w:t>Renaşterii</w:t>
      </w:r>
      <w:r w:rsidRPr="00EA3B4B">
        <w:rPr>
          <w:rFonts w:cs="Times New Roman"/>
          <w:lang w:val="ro-RO"/>
        </w:rPr>
        <w:t>, ajunge să identifice obiectele, metoda şi realizările filosofiei şi teologiei, bazându-şi efortul pe argumentul că orice bun omenesc este un dar de la Dumnezeu, şi de aceea ambele au o înaltă calitate</w:t>
      </w:r>
      <w:r w:rsidRPr="00EA3B4B">
        <w:rPr>
          <w:rStyle w:val="FootnoteReference"/>
          <w:rFonts w:cs="Times New Roman"/>
          <w:lang w:val="ro-RO"/>
        </w:rPr>
        <w:footnoteReference w:id="125"/>
      </w:r>
      <w:r w:rsidRPr="00EA3B4B">
        <w:rPr>
          <w:rFonts w:cs="Times New Roman"/>
          <w:lang w:val="ro-RO"/>
        </w:rPr>
        <w:t>. De fapt, filosofia şi teologia, ca daruri ale lui Dumnezeu, au valoare egală, întrucât Varlaam considera că atât cuvintele oamenilor sfinţi, cât şi filosofia profană conduc spre un unic obiect, şi, prin urmare, au acelaşi scop, aflarea adevărului care este unul singur. Acest adevăr s-a dat la început Sfinţilor Apostoli, iar noi îl putem afla prin zel şi curăţie. Studiile filosofice contribuie în mod natural la ajungerea la principiile imateriale</w:t>
      </w:r>
      <w:r w:rsidRPr="00EA3B4B">
        <w:rPr>
          <w:rStyle w:val="FootnoteReference"/>
          <w:rFonts w:cs="Times New Roman"/>
          <w:lang w:val="ro-RO"/>
        </w:rPr>
        <w:footnoteReference w:id="126"/>
      </w:r>
      <w:r w:rsidRPr="00EA3B4B">
        <w:rPr>
          <w:rFonts w:cs="Times New Roman"/>
          <w:lang w:val="ro-RO"/>
        </w:rPr>
        <w:t>. În pofida acestor afirmaţii, Varlaam nu poate fi considerat un filosof raţionalist, dimpotrivă, în elaborări ulterioare, ajunge la concluzii apropiate agnosticismului. El accentuează completa inabilitate a omului, în starea sa naturală, de a înţeleage cele dumnezeieşti, şi, asemenea lui Platon, consideră că purificarea şi scăparea din trup duce la vederea lui Dumnezeu în ekstaz.</w:t>
      </w:r>
    </w:p>
    <w:p w:rsidR="004D40C5" w:rsidRPr="00EA3B4B" w:rsidRDefault="004D40C5" w:rsidP="004D40C5">
      <w:pPr>
        <w:ind w:left="-567" w:right="-709" w:firstLine="851"/>
        <w:jc w:val="both"/>
        <w:rPr>
          <w:rFonts w:cs="Times New Roman"/>
          <w:lang w:val="ro-RO"/>
        </w:rPr>
      </w:pPr>
      <w:r w:rsidRPr="00EA3B4B">
        <w:rPr>
          <w:rFonts w:cs="Times New Roman"/>
          <w:lang w:val="ro-RO"/>
        </w:rPr>
        <w:t>Într-un contrast total cu cele de mai sus, Sfântul Grigorie Palama delimitează clar teologia de filosofie</w:t>
      </w:r>
      <w:r w:rsidRPr="00EA3B4B">
        <w:rPr>
          <w:rStyle w:val="FootnoteReference"/>
          <w:rFonts w:cs="Times New Roman"/>
          <w:lang w:val="ro-RO"/>
        </w:rPr>
        <w:footnoteReference w:id="127"/>
      </w:r>
      <w:r w:rsidRPr="00EA3B4B">
        <w:rPr>
          <w:rFonts w:cs="Times New Roman"/>
          <w:lang w:val="ro-RO"/>
        </w:rPr>
        <w:t>. El nu a fost influenţat de teologii occidentali, ci şi-a găsit suficient suport în Sfânta Scriptură şi la Părinţii anteriori. Sfântul Apostol Pavel, adresându-se în primul rând intelectualilor din Atena şi Corint, reliefează prăpastia dintre înţelepciunea lumii, sortită abolirii, şi cea a lui Dumnezeu, care este eternă şi aduce mântuirea (1 Co. 1, 18-31; 2, 6-10; 2 Co. 1, 12). În mod similar descrie Sfântul Iacob înţelepciunea omenească, numind-o neduhovnicească şi demonică, iar pe cea venită de sus o califică drept curată, paşnică, îngăduitoare, ascultătoare, plină de milă şi de roade bune (Iac. 3, 13-17).</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Atitudinea aceasta, dictată de motive pastorale, nu permite o distincţie între două tipuri de cunoaştere, deoarece respinge valoarea înţelepciunii omeneşti, fapt ce a avut consecinţe pentru evoluţia gândirii teologice până spre sfârşitul celui de al doilea secol, dar şi ulterior. Unii dintre apologeţi au adoptat, datorită trecutului lor intelectual, o atitudine diferită. Se exemplifică cu poziţia avută de Clement al Alexandriei, care considera că iniţial adevărul era unul, dar ulterior a fost divizat de şcolile filosofice. Cu toate că unele şcoli susţin că posedă adevărul integral, în realitate ei posedă doar o parte din el. </w:t>
      </w:r>
      <w:r w:rsidRPr="00EA3B4B">
        <w:rPr>
          <w:rFonts w:cs="Times New Roman"/>
          <w:i/>
          <w:lang w:val="ro-RO"/>
        </w:rPr>
        <w:t>De aici rezultă că filosofia nu este total lipsită de valoare, dar şi că diferenţa faţă de teologie este fundamentală, deoarece filosofia se ocupă cu numele, adică cu învelişul, în timp ce teologia se ocupă cu lucrurile,</w:t>
      </w:r>
      <w:r w:rsidRPr="00EA3B4B">
        <w:rPr>
          <w:rFonts w:cs="Times New Roman"/>
          <w:b/>
          <w:i/>
          <w:lang w:val="ro-RO"/>
        </w:rPr>
        <w:t xml:space="preserve"> </w:t>
      </w:r>
      <w:r w:rsidRPr="00EA3B4B">
        <w:rPr>
          <w:rFonts w:cs="Times New Roman"/>
          <w:i/>
          <w:lang w:val="ro-RO"/>
        </w:rPr>
        <w:t xml:space="preserve">adică cu cele esenţiale </w:t>
      </w:r>
      <w:r w:rsidRPr="00EA3B4B">
        <w:rPr>
          <w:rFonts w:cs="Times New Roman"/>
          <w:lang w:val="ro-RO"/>
        </w:rPr>
        <w:t>(s.n.)</w:t>
      </w:r>
      <w:r w:rsidRPr="00EA3B4B">
        <w:rPr>
          <w:rStyle w:val="FootnoteReference"/>
          <w:rFonts w:cs="Times New Roman"/>
          <w:lang w:val="ro-RO"/>
        </w:rPr>
        <w:footnoteReference w:id="128"/>
      </w:r>
      <w:r w:rsidRPr="00EA3B4B">
        <w:rPr>
          <w:rFonts w:cs="Times New Roman"/>
          <w:lang w:val="ro-RO"/>
        </w:rPr>
        <w:t xml:space="preserve">. Împrumutate de la Philon, el foloseşte ca </w:t>
      </w:r>
      <w:r w:rsidRPr="00EA3B4B">
        <w:rPr>
          <w:rFonts w:cs="Times New Roman"/>
          <w:i/>
          <w:lang w:val="ro-RO"/>
        </w:rPr>
        <w:t>typuri</w:t>
      </w:r>
      <w:r w:rsidRPr="00EA3B4B">
        <w:rPr>
          <w:rFonts w:cs="Times New Roman"/>
          <w:lang w:val="ro-RO"/>
        </w:rPr>
        <w:t xml:space="preserve"> reprezentative pe Agar şi pe Sara, ambele au născut, dar copiii n-au aceeaşi valoare</w:t>
      </w:r>
      <w:r w:rsidRPr="00EA3B4B">
        <w:rPr>
          <w:rStyle w:val="FootnoteReference"/>
          <w:rFonts w:cs="Times New Roman"/>
          <w:lang w:val="ro-RO"/>
        </w:rPr>
        <w:footnoteReference w:id="129"/>
      </w:r>
      <w:r w:rsidRPr="00EA3B4B">
        <w:rPr>
          <w:rFonts w:cs="Times New Roman"/>
          <w:lang w:val="ro-RO"/>
        </w:rPr>
        <w:t>. În concluzie, potrivit lui Clement Alexandrinul, în timp ce sistemele filosofice posedă o parte a adevărului, teologia îl deţine integral.</w:t>
      </w:r>
    </w:p>
    <w:p w:rsidR="004D40C5" w:rsidRPr="00EA3B4B" w:rsidRDefault="004D40C5" w:rsidP="004D40C5">
      <w:pPr>
        <w:ind w:left="-567" w:right="-709" w:firstLine="851"/>
        <w:jc w:val="both"/>
        <w:rPr>
          <w:rFonts w:cs="Times New Roman"/>
          <w:lang w:val="ro-RO"/>
        </w:rPr>
      </w:pPr>
      <w:r w:rsidRPr="00EA3B4B">
        <w:rPr>
          <w:rFonts w:cs="Times New Roman"/>
          <w:lang w:val="ro-RO"/>
        </w:rPr>
        <w:t>Sfântul Diadoh al Photiceei, examinând această diviziune o atribuie căderii omului şi o consideră ca o separaţie între adevăr şi eroare. Prin căderea sa, omul „a fost divizat din cauza caracterului dublu al cunoaşterii”</w:t>
      </w:r>
      <w:r w:rsidRPr="00EA3B4B">
        <w:rPr>
          <w:rStyle w:val="FootnoteReference"/>
          <w:rFonts w:cs="Times New Roman"/>
          <w:lang w:val="ro-RO"/>
        </w:rPr>
        <w:footnoteReference w:id="130"/>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lastRenderedPageBreak/>
        <w:t>Sfântul Vasile cel Mare leagă cele două moduri de cunoaştere de domeniile servite. Înţelepciunea lumească procură înţelegerea acestei vieţi trecătoare şi facilitează petrecerea plină de succes a acesteia, în timp ce înţelepciunea dumnezeiască oferă mijloacele pentru a dobândi fericita viaţă viitoare</w:t>
      </w:r>
      <w:r w:rsidRPr="00EA3B4B">
        <w:rPr>
          <w:rStyle w:val="FootnoteReference"/>
          <w:rFonts w:cs="Times New Roman"/>
          <w:lang w:val="ro-RO"/>
        </w:rPr>
        <w:footnoteReference w:id="131"/>
      </w:r>
      <w:r w:rsidRPr="00EA3B4B">
        <w:rPr>
          <w:rFonts w:cs="Times New Roman"/>
          <w:lang w:val="ro-RO"/>
        </w:rPr>
        <w:t>. Fără a fi în contradicţie una cu alta, cele două formează un pom pentru care una asigură frunzele, iar cealaltă fructele</w:t>
      </w:r>
      <w:r w:rsidRPr="00EA3B4B">
        <w:rPr>
          <w:rStyle w:val="FootnoteReference"/>
          <w:rFonts w:cs="Times New Roman"/>
          <w:lang w:val="ro-RO"/>
        </w:rPr>
        <w:footnoteReference w:id="132"/>
      </w:r>
      <w:r w:rsidRPr="00EA3B4B">
        <w:rPr>
          <w:rFonts w:cs="Times New Roman"/>
          <w:lang w:val="ro-RO"/>
        </w:rPr>
        <w:t>. Prin urmare, se va vorbi despre două moduri de cunoaştere, mai degrabă decât despre o dublă cunoaştere.</w:t>
      </w:r>
    </w:p>
    <w:p w:rsidR="004D40C5" w:rsidRPr="00EA3B4B" w:rsidRDefault="004D40C5" w:rsidP="004D40C5">
      <w:pPr>
        <w:ind w:left="-567" w:right="-709" w:firstLine="851"/>
        <w:jc w:val="both"/>
        <w:rPr>
          <w:rFonts w:cs="Times New Roman"/>
          <w:lang w:val="ro-RO"/>
        </w:rPr>
      </w:pPr>
      <w:r w:rsidRPr="00EA3B4B">
        <w:rPr>
          <w:rFonts w:cs="Times New Roman"/>
          <w:lang w:val="ro-RO"/>
        </w:rPr>
        <w:t>Varlaam, ca aderent al unei viziuni unitare despre cunoaşterea lui Dumnezeu şi despre modul cunoaşterii, consideră că iluminarea dăruită tuturor oamenilor desăvârşiţi ai timpurilor vechi, profeţi sau apostoli sau chiar filosofi, a fost singurul mijloc de a-L cunoaşte pe Dumnezeu. Ei au primit acest dar după ce au fost curăţiţi de toată necurăţia, datorită unui intens efort spiritual. Iluminarea i-a făcut pe toţi văzători-de-Dumnezeu (</w:t>
      </w:r>
      <w:r w:rsidRPr="00EA3B4B">
        <w:rPr>
          <w:rFonts w:cs="Times New Roman"/>
          <w:i/>
          <w:lang w:val="ro-RO"/>
        </w:rPr>
        <w:t>theoptas</w:t>
      </w:r>
      <w:r w:rsidRPr="00EA3B4B">
        <w:rPr>
          <w:rFonts w:cs="Times New Roman"/>
          <w:lang w:val="ro-RO"/>
        </w:rPr>
        <w:t>). Varlaam considera credinţa, în sensul foarte larg al cuvântului, a fi temeiul cunoaşterii prin iluminare. Şi Sfântul Grigorie o considera la fel, dar îi conferea două înţelesuri, unul mai larg pentru ceea ce nu putea fi demonstrat, şi altul mai restrâns pentru credinţa supusă demonstraţiei</w:t>
      </w:r>
      <w:r w:rsidRPr="00EA3B4B">
        <w:rPr>
          <w:rStyle w:val="FootnoteReference"/>
          <w:rFonts w:cs="Times New Roman"/>
          <w:lang w:val="ro-RO"/>
        </w:rPr>
        <w:footnoteReference w:id="133"/>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Când Sfântul Grigorie respinge argumentul lui Varlaam, nu întâmpină nicio dificultate în a recurge la tradiţia despre cele două căi ale </w:t>
      </w:r>
      <w:r w:rsidRPr="00EA3B4B">
        <w:rPr>
          <w:rFonts w:cs="Times New Roman"/>
          <w:i/>
          <w:lang w:val="ro-RO"/>
        </w:rPr>
        <w:t>theognosiei</w:t>
      </w:r>
      <w:r w:rsidRPr="00EA3B4B">
        <w:rPr>
          <w:rStyle w:val="FootnoteReference"/>
          <w:rFonts w:cs="Times New Roman"/>
          <w:i/>
          <w:lang w:val="ro-RO"/>
        </w:rPr>
        <w:footnoteReference w:id="134"/>
      </w:r>
      <w:r w:rsidRPr="00EA3B4B">
        <w:rPr>
          <w:rFonts w:cs="Times New Roman"/>
          <w:lang w:val="ro-RO"/>
        </w:rPr>
        <w:t xml:space="preserve">. Oricum există contradicţii de ambele părţi. Varlaam, deşi supraestimează valoarea filosofiei greceşti, în final tăgăduieşte ambele moduri de cunoaştere, atât cea filosofică, cât şi cea teologică. Cu toate că Sfântul Grigorie subestimează valoarea filosofiei greceşti, recunoaşte importanţa </w:t>
      </w:r>
      <w:r w:rsidRPr="00EA3B4B">
        <w:rPr>
          <w:rFonts w:cs="Times New Roman"/>
          <w:i/>
          <w:lang w:val="ro-RO"/>
        </w:rPr>
        <w:t>theognosiei</w:t>
      </w:r>
      <w:r w:rsidRPr="00EA3B4B">
        <w:rPr>
          <w:rFonts w:cs="Times New Roman"/>
          <w:lang w:val="ro-RO"/>
        </w:rPr>
        <w:t xml:space="preserve"> naturale. Într-una dintre epistole scrie că dumnezeirea se situează dincolo de dialectică şi demonstraţie; nu este subiect pentru speculaţii sau pentru silogism</w:t>
      </w:r>
      <w:r w:rsidRPr="00EA3B4B">
        <w:rPr>
          <w:rStyle w:val="FootnoteReference"/>
          <w:rFonts w:cs="Times New Roman"/>
          <w:lang w:val="ro-RO"/>
        </w:rPr>
        <w:footnoteReference w:id="135"/>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După ce a reflectat mult asupra </w:t>
      </w:r>
      <w:r w:rsidRPr="00EA3B4B">
        <w:rPr>
          <w:rFonts w:cs="Times New Roman"/>
          <w:i/>
          <w:lang w:val="ro-RO"/>
        </w:rPr>
        <w:t>theognosiei</w:t>
      </w:r>
      <w:r w:rsidRPr="00EA3B4B">
        <w:rPr>
          <w:rFonts w:cs="Times New Roman"/>
          <w:lang w:val="ro-RO"/>
        </w:rPr>
        <w:t xml:space="preserve"> naturale şi a celei teologice, Sfântul Grigorie Palama a concluzionat că roadele celei de a doua căi sunt incomparabile primei. Dar o altă cale se deschide, capabilă să ducă la cea mai intimă simţire a prezenţei lui Dumnezeu, anticipare a fericirii veşnice, calea vederii lui Dumnezeu (</w:t>
      </w:r>
      <w:r w:rsidRPr="00EA3B4B">
        <w:rPr>
          <w:rFonts w:cs="Times New Roman"/>
          <w:i/>
          <w:lang w:val="ro-RO"/>
        </w:rPr>
        <w:t>theoptia</w:t>
      </w:r>
      <w:r w:rsidRPr="00EA3B4B">
        <w:rPr>
          <w:rFonts w:cs="Times New Roman"/>
          <w:lang w:val="ro-RO"/>
        </w:rPr>
        <w:t>). Datorită ascezei, călugării isihaşti de la Athos primiseră darul rugăciunii curate şi pe cel al vederii luminii dumnezeieşti necreate. Această lumină nu era considerată a fi un simbol (în sensul obişnuit al termenului, nu în cel teologic, adică unirea dintre necreat şi creat) al slavei divine, nici un fenomen impersonal, ci nemijlocita prezenţă a lui Dumnezeu Unul în Treime; în lucrare (</w:t>
      </w:r>
      <w:r w:rsidRPr="00EA3B4B">
        <w:rPr>
          <w:rFonts w:cs="Times New Roman"/>
          <w:i/>
          <w:lang w:val="ro-RO"/>
        </w:rPr>
        <w:t>energiai</w:t>
      </w:r>
      <w:r w:rsidRPr="00EA3B4B">
        <w:rPr>
          <w:rFonts w:cs="Times New Roman"/>
          <w:lang w:val="ro-RO"/>
        </w:rPr>
        <w:t>), fiind prezent nemijlocit Lucrătorul.</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Sfântul Grigorie Palama, referindu-se la istoria Revelaţiei, arăta multitudinea circumstanţelor în care Dumnezeu Se descoperă ca lumină. Teofaniile din Vechiul Testament, strălucirea feţei lui Moise, viziunea Sfântul Ştefan, lumina de pe drumul Damascului, şi mai presus de toate, lumina lui Hristos pe care au văzut-o ucenicii pe Tabor. Varlaam din Calabria nu respingea posibilitatea vederii luminii dumnezeieşti </w:t>
      </w:r>
      <w:r w:rsidRPr="00EA3B4B">
        <w:rPr>
          <w:rFonts w:cs="Times New Roman"/>
          <w:i/>
          <w:lang w:val="ro-RO"/>
        </w:rPr>
        <w:t>per se</w:t>
      </w:r>
      <w:r w:rsidRPr="00EA3B4B">
        <w:rPr>
          <w:rFonts w:cs="Times New Roman"/>
          <w:lang w:val="ro-RO"/>
        </w:rPr>
        <w:t>, ci interpretarea teologică a isihaştilor. Lumina inteligibilă poate fi, potrivit lui, fie Dumnezeu Însuşi, fie natura angelică, fie intelectul uman purificat. Ar fi fost acceptabil ca isihaştii să vorbească despre vederea luminii inteligibile în sensul de vedere a îngerilor sau a propriului lor intelect (</w:t>
      </w:r>
      <w:r w:rsidRPr="00EA3B4B">
        <w:rPr>
          <w:rFonts w:cs="Times New Roman"/>
          <w:i/>
          <w:lang w:val="ro-RO"/>
        </w:rPr>
        <w:t>nous</w:t>
      </w:r>
      <w:r w:rsidRPr="00EA3B4B">
        <w:rPr>
          <w:rFonts w:cs="Times New Roman"/>
          <w:lang w:val="ro-RO"/>
        </w:rPr>
        <w:t xml:space="preserve">). Dar a-L vedea pe Dumnezeu în lumină era ceva de neconceput. Respingând distincţia dintre fiinţă şi energii, el </w:t>
      </w:r>
      <w:r w:rsidRPr="00EA3B4B">
        <w:rPr>
          <w:rFonts w:cs="Times New Roman"/>
          <w:lang w:val="ro-RO"/>
        </w:rPr>
        <w:lastRenderedPageBreak/>
        <w:t>neagă orice posibilitate de comuniune autentică între Dumnezeu şi om, şi, totodată, conceptul unei reale teofanii</w:t>
      </w:r>
      <w:r w:rsidRPr="00EA3B4B">
        <w:rPr>
          <w:rStyle w:val="FootnoteReference"/>
          <w:rFonts w:cs="Times New Roman"/>
          <w:lang w:val="ro-RO"/>
        </w:rPr>
        <w:footnoteReference w:id="136"/>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Primind strălucirea luminii necreate, isihaştii experiau o nemijlocită comuniune cu Dumnezeu, cu toate consecinţele ce decurg în planul regenerării şi îndumnezeirii. Vederea luminii dumnezeieşti este darul îndumnezeitor al Duhului Sfânt, Dătătorul de viaţă şi Sfinţitorul. Apare însă întrebarea: Cum a fost posibil ca cei trei Apostoli să vadă cu ochii trupeşti lumina </w:t>
      </w:r>
      <w:r w:rsidRPr="00EA3B4B">
        <w:rPr>
          <w:rFonts w:cs="Times New Roman"/>
          <w:i/>
          <w:lang w:val="ro-RO"/>
        </w:rPr>
        <w:t>Schimbării la Faţă</w:t>
      </w:r>
      <w:r w:rsidRPr="00EA3B4B">
        <w:rPr>
          <w:rFonts w:cs="Times New Roman"/>
          <w:lang w:val="ro-RO"/>
        </w:rPr>
        <w:t xml:space="preserve"> dacă era necreată? Şi mai departe, cum puteau isihaştii să afirme că văd nu doar simboluri divine sau îngeri, ci însăşi slava (de fapt forma, </w:t>
      </w:r>
      <w:r w:rsidRPr="00EA3B4B">
        <w:rPr>
          <w:rFonts w:cs="Times New Roman"/>
          <w:i/>
          <w:lang w:val="ro-RO"/>
        </w:rPr>
        <w:t xml:space="preserve">morphe, </w:t>
      </w:r>
      <w:r w:rsidRPr="00EA3B4B">
        <w:rPr>
          <w:rFonts w:cs="Times New Roman"/>
          <w:lang w:val="ro-RO"/>
        </w:rPr>
        <w:t xml:space="preserve">cf. Filip. b2 şi </w:t>
      </w:r>
      <w:r w:rsidRPr="00EA3B4B">
        <w:rPr>
          <w:rFonts w:cs="Times New Roman"/>
          <w:i/>
          <w:lang w:val="ro-RO"/>
        </w:rPr>
        <w:t>metamorphosis</w:t>
      </w:r>
      <w:r w:rsidRPr="00EA3B4B">
        <w:rPr>
          <w:rFonts w:cs="Times New Roman"/>
          <w:lang w:val="ro-RO"/>
        </w:rPr>
        <w:t>, Mt. 17, Lc. 9) necreată şi nepieritoare a naturii dumnezeieşti?</w:t>
      </w:r>
    </w:p>
    <w:p w:rsidR="004D40C5" w:rsidRPr="00EA3B4B" w:rsidRDefault="004D40C5" w:rsidP="004D40C5">
      <w:pPr>
        <w:ind w:left="-567" w:right="-709" w:firstLine="851"/>
        <w:jc w:val="both"/>
        <w:rPr>
          <w:rFonts w:cs="Times New Roman"/>
          <w:lang w:val="ro-RO"/>
        </w:rPr>
      </w:pPr>
      <w:r w:rsidRPr="00EA3B4B">
        <w:rPr>
          <w:rFonts w:cs="Times New Roman"/>
          <w:lang w:val="ro-RO"/>
        </w:rPr>
        <w:t>Sfântul Grigorie Palama spune clar că omul nu are o facultate naturală în acest sens, ci, primind puterea Duhului Sfânt, ochii sunt transformaţi şi devin capabili pentru o astfel de vedere. Iar în viaţa veşnică, acelaşi trup, chiar dacă spiritualizat, va contempla lumina dumnezeiască de-a pururea</w:t>
      </w:r>
      <w:r w:rsidRPr="00EA3B4B">
        <w:rPr>
          <w:rStyle w:val="FootnoteReference"/>
          <w:rFonts w:cs="Times New Roman"/>
          <w:lang w:val="ro-RO"/>
        </w:rPr>
        <w:footnoteReference w:id="137"/>
      </w:r>
      <w:r w:rsidRPr="00EA3B4B">
        <w:rPr>
          <w:rFonts w:cs="Times New Roman"/>
          <w:lang w:val="ro-RO"/>
        </w:rPr>
        <w:t>. Referindu-se la aceeaşi problemă, părintele Stăniloae scria: „Dar lumina aceasta, deşi nu e sensibilă, deşi e spirituală, se răspândeşte din suflet în afară, pe faţa şi pe trupul celui ce o are înăuntru. Astfel strălucea Moise, de lumina lăuntrică a minţii ce se revărsa şi pe trup. Prin urmare, lumina de pe faţa lui Moise era văzută şi cu ochii trupeşti de cei ce-l priveau. «Ba faţa lui Moise strălucea atât de tare, încât cei ce se uitau la el nici nu puteau privi la lumina aceea copleşitoare. Aşa arăta faţa sensibilă a lui Ştefan, ca o faţă de înger»</w:t>
      </w:r>
      <w:r w:rsidRPr="00EA3B4B">
        <w:rPr>
          <w:rStyle w:val="FootnoteReference"/>
          <w:rFonts w:cs="Times New Roman"/>
          <w:lang w:val="ro-RO"/>
        </w:rPr>
        <w:footnoteReference w:id="138"/>
      </w:r>
      <w:r w:rsidRPr="00EA3B4B">
        <w:rPr>
          <w:rFonts w:cs="Times New Roman"/>
          <w:lang w:val="ro-RO"/>
        </w:rPr>
        <w:t xml:space="preserve">. E o deosebire însă între răspândirea acelei lumini pe faţa celor ce o văd în duhul lor, şi lumina însăşi văzută de ei. Dacă răspândirea ei pe faţa acelora s-a întâmplat să o vadă şi cei ce nu se aflau într-o stare ridicată deasupra activităţii naturale a minţii, aşadar prin puterea naturală a ochilor, lumina aceea însăşi, arătată în duhul celor ridicaţi deasupra lor înşişi, chiar dacă se vedea şi </w:t>
      </w:r>
      <w:r w:rsidRPr="00EA3B4B">
        <w:rPr>
          <w:rFonts w:cs="Times New Roman"/>
          <w:i/>
          <w:lang w:val="ro-RO"/>
        </w:rPr>
        <w:t xml:space="preserve">cu ochii trupeşti, nu se vedea prin puterea naturală a ochilor, ci prin Duhul Sfânt care lucra prin mintea şi prin ochii lor </w:t>
      </w:r>
      <w:r w:rsidRPr="00EA3B4B">
        <w:rPr>
          <w:rFonts w:cs="Times New Roman"/>
          <w:lang w:val="ro-RO"/>
        </w:rPr>
        <w:t>(s.n.). De aceea, dacă reflexul luminii dumnezeieşti răspândită pe faţa unor sfinţi în ekstaz e văzută uneori de oricine, lumina dumnezeiască însăşi nu e văzută de oricine. De pildă, lumina din noaptea Naşterii Mântuitorului nu e văzută de ochii dobitoacelor, iar lumina de pe Tabor, deşi strălucea mai tare ca soarele, deci ar fi putut s-o vadă oricine din orice loc, nu o vedeau decât cei trei apostoli, în care lucra puterea Duhului Sfânt. Deci chiar dacă acea lumină e văzută şi de ochii sensibili, întrucât nu e văzută de aceştia cu puterea lor naturală, ea nu e sensibilă”</w:t>
      </w:r>
      <w:r w:rsidRPr="00EA3B4B">
        <w:rPr>
          <w:rStyle w:val="FootnoteReference"/>
          <w:rFonts w:cs="Times New Roman"/>
          <w:lang w:val="ro-RO"/>
        </w:rPr>
        <w:footnoteReference w:id="139"/>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În acelaşi sens, pentru a-i răspunde lui Varlaam, Sfântul Grigorie scria: „E necesar deci ca şi despre arătarea luminoasă a lui Iisus în Tabor, să nu-ţi dai părerea pe baza cugetărilor slăbănoage, adică omeneşti, şi a reflexiilor greşite, ci să te supui cuvintelor duhovniceşti şi să aştepţi cunoştinţa sigură ce vine în inima curată prin experienţă. Căci aceasta, realizând unirea cu lumina aceea, învaţă tainic pe cei ce-o obţin că nu e ceva din cele ce sunt, ca una ce depăşeşte toate existenţele? Sau care lucru sensibil nu e făptură? Cum va fi însă strălucirea lui Dumnezeu, făptură? Nefiind deci făptură, nu va fi nici sensibilă, în sens propriu. (…) Sfântul Vasile cel Mare zice că cei ce erau curaţi cu inima când S-a arătat Domnul prin trup, «vedeau continuu puterea aceasta, strălucind din trupul închinat». Cum e însă lumină sensibilă aceea care e văzută datorită curăţeniei inimii? După dumnezeiescul cântăreţ Cosma, «Hristos a atins pe înălţime o strălucire nemăsurată în frumuseţe». Cum nemăsurată, dacă e sensibilă? Iar Ştefan, primul martir pentru Hristos, privind în sus a văzut cerurile deschise şi slava lui Dumnezeu în ele şi pe Hristos stând de-a dreapta lui Dumnezeu (F. Ap. 7, 55-56). Poate oare ajunge vreo putere sensibilă până la cele ce sunt mai presus de ceruri? Căci el de jos, de pe pământ, privea acolo. Şi, ce-i mai mult, nu vedea numai pe Hristos, ci şi pe Tatăl Lui; cum ar fi văzut doar pe Fiul şezând de-a dreapta Lui, dacă nu l-ar fi văzut şi pe El? Vezi că poate fi văzut Cel nevăzut de cei curaţi cu inima, însă nu sensibil, nici inteligibil, nici prin negaţie, ci printr-o oarecare putere negrăită? (…) Cum a văzut deci acestea primul martir, dacă nu le-a văzut nici prin înţelegere, nici sensibil, nici prin negaţie, nici deducând cauzal sau prin analogie cele dumnezeieşti? Eu ţi-o </w:t>
      </w:r>
      <w:r w:rsidRPr="00EA3B4B">
        <w:rPr>
          <w:rFonts w:cs="Times New Roman"/>
          <w:lang w:val="ro-RO"/>
        </w:rPr>
        <w:lastRenderedPageBreak/>
        <w:t>voi spune cu hotărâre: duhovniceşte; aşa cum am spus şi despre cei ce-au văzut prin descoperire lumina preacurată; şi aşa cum au spus şi mulţi Părinţi înaintea noastră. Aceasta, de altfel, o învaţă şi dumnezeiescul Luca, zicând: «</w:t>
      </w:r>
      <w:r w:rsidRPr="00EA3B4B">
        <w:rPr>
          <w:rFonts w:cs="Times New Roman"/>
          <w:i/>
          <w:lang w:val="ro-RO"/>
        </w:rPr>
        <w:t>Iar Ştefan fiind plin de Duhul Sfânt, căutând la cer, a văzut slava lui Dumnezeu</w:t>
      </w:r>
      <w:r w:rsidRPr="00EA3B4B">
        <w:rPr>
          <w:rFonts w:cs="Times New Roman"/>
          <w:lang w:val="ro-RO"/>
        </w:rPr>
        <w:t>». Şi tu, aşadar, dacă ai deveni plin de Duh Sfânt, ai vedea duhovniceşte cele ce nu se văd nici cu mintea”</w:t>
      </w:r>
      <w:r w:rsidRPr="00EA3B4B">
        <w:rPr>
          <w:rStyle w:val="FootnoteReference"/>
          <w:rFonts w:cs="Times New Roman"/>
          <w:lang w:val="ro-RO"/>
        </w:rPr>
        <w:footnoteReference w:id="140"/>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Prin urmare: „dacă nu o văd prin puterea naturală a ochilor, înseamnă că nu e asemenea luminii fizice, din spaţiu, sau din aer, ci face parte dintr-o regiune spirituală. Cei ce o văd pătrund prin puterea Duhului din ei dincolo de planul realităţilor fizice. Ei se află ridicaţi într-o</w:t>
      </w:r>
      <w:r w:rsidRPr="00EA3B4B">
        <w:rPr>
          <w:rFonts w:cs="Times New Roman"/>
          <w:i/>
          <w:lang w:val="ro-RO"/>
        </w:rPr>
        <w:t xml:space="preserve"> ordine a Duhului</w:t>
      </w:r>
      <w:r w:rsidRPr="00EA3B4B">
        <w:rPr>
          <w:rFonts w:cs="Times New Roman"/>
          <w:lang w:val="ro-RO"/>
        </w:rPr>
        <w:t xml:space="preserve"> (s.n.). Faptul că ochii lor sunt deschişi şi caută ţinta undeva afară nu înseamnă altceva decât că lumina din ordinea realităţilor spirituale copleşeşte, pentru simţul lor devenit plin de puterea Duhului, realităţile înconjurătoare, aşa cum, într-o asemănare palidă, pentru cel ce iubeşte, toată natura se umple de lumina ce iradiază parcă din fiinţa iubită”</w:t>
      </w:r>
      <w:r w:rsidRPr="00EA3B4B">
        <w:rPr>
          <w:rStyle w:val="FootnoteReference"/>
          <w:rFonts w:cs="Times New Roman"/>
          <w:lang w:val="ro-RO"/>
        </w:rPr>
        <w:footnoteReference w:id="141"/>
      </w:r>
      <w:r w:rsidRPr="00EA3B4B">
        <w:rPr>
          <w:rFonts w:cs="Times New Roman"/>
          <w:lang w:val="ro-RO"/>
        </w:rPr>
        <w:t>.</w:t>
      </w:r>
    </w:p>
    <w:p w:rsidR="004D40C5" w:rsidRPr="00EA3B4B" w:rsidRDefault="004D40C5" w:rsidP="004D40C5">
      <w:pPr>
        <w:ind w:left="-567" w:right="-709" w:firstLine="851"/>
        <w:jc w:val="both"/>
        <w:rPr>
          <w:rFonts w:cs="Times New Roman"/>
          <w:lang w:val="ro-RO"/>
        </w:rPr>
      </w:pPr>
      <w:r w:rsidRPr="00EA3B4B">
        <w:rPr>
          <w:rFonts w:cs="Times New Roman"/>
          <w:lang w:val="ro-RO"/>
        </w:rPr>
        <w:t>Se poate afirma că lumina dumnezeiască este necreată, dar este vizibilă cu ochii trupeşti datorită lucrării Duhului Sfânt. Nu este vorba de un fenomen impersonal, ci de Hristos însuşi Care străluceşte în cel cu viaţă sfântă. Vederea luminii dumnezeieşti, suprema treaptă a apofatismului, înseamnă relaţie personală cu Sfânta Treime.</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În final, considerăm că este important să se reliefeze complementaritatea dintre catafatism şi apofatism (apofatismul devine la un moment dat catafatism, sau mai precis, se foloseşte modul afirmativ, fiind vorba de relaţie personală experiată în mod simţit, </w:t>
      </w:r>
      <w:r w:rsidRPr="00EA3B4B">
        <w:rPr>
          <w:rFonts w:cs="Times New Roman"/>
          <w:i/>
          <w:lang w:val="ro-RO"/>
        </w:rPr>
        <w:t>aesthitos</w:t>
      </w:r>
      <w:r w:rsidRPr="00EA3B4B">
        <w:rPr>
          <w:rFonts w:cs="Times New Roman"/>
          <w:lang w:val="ro-RO"/>
        </w:rPr>
        <w:t>), precum şi relaţia dintre treptele apofatismului prin redarea cuvintelor Sfântului Simeon Noul Teolog, cel care ne învaţă că, atunci când „se ridică la cele desăvârşite”, omul primeşte darul de a depăşi apofaticul prin experierea epectatică a prezenţei nemijlocite a lui Dumnezeu Cel Unul în Treime, faţă către Faţă:</w:t>
      </w:r>
    </w:p>
    <w:p w:rsidR="004D40C5" w:rsidRPr="00EA3B4B" w:rsidRDefault="004D40C5" w:rsidP="004D40C5">
      <w:pPr>
        <w:ind w:left="-567" w:right="-709" w:firstLine="851"/>
        <w:jc w:val="both"/>
        <w:rPr>
          <w:rFonts w:cs="Times New Roman"/>
          <w:lang w:val="ro-RO"/>
        </w:rPr>
      </w:pPr>
      <w:r w:rsidRPr="00EA3B4B">
        <w:rPr>
          <w:rFonts w:cs="Times New Roman"/>
          <w:lang w:val="ro-RO"/>
        </w:rPr>
        <w:t xml:space="preserve">„Acestea sunt, fraţilor, minunile lui Dumnezeu faţă de noi! Ridicându-ne noi la cele mai desăvârşite, Cel fără chip [fără formă - </w:t>
      </w:r>
      <w:r w:rsidRPr="00EA3B4B">
        <w:rPr>
          <w:rFonts w:cs="Times New Roman"/>
          <w:i/>
          <w:lang w:val="ro-RO"/>
        </w:rPr>
        <w:t>amorphos</w:t>
      </w:r>
      <w:r w:rsidRPr="00EA3B4B">
        <w:rPr>
          <w:rFonts w:cs="Times New Roman"/>
          <w:lang w:val="ro-RO"/>
        </w:rPr>
        <w:t>]</w:t>
      </w:r>
      <w:r w:rsidRPr="00EA3B4B">
        <w:rPr>
          <w:rFonts w:cs="Times New Roman"/>
          <w:i/>
          <w:lang w:val="ro-RO"/>
        </w:rPr>
        <w:t xml:space="preserve"> </w:t>
      </w:r>
      <w:r w:rsidRPr="00EA3B4B">
        <w:rPr>
          <w:rFonts w:cs="Times New Roman"/>
          <w:lang w:val="ro-RO"/>
        </w:rPr>
        <w:t>şi fără înfăţişare (</w:t>
      </w:r>
      <w:r w:rsidRPr="00EA3B4B">
        <w:rPr>
          <w:rFonts w:cs="Times New Roman"/>
          <w:i/>
          <w:lang w:val="ro-RO"/>
        </w:rPr>
        <w:t>aneideos</w:t>
      </w:r>
      <w:r w:rsidRPr="00EA3B4B">
        <w:rPr>
          <w:rFonts w:cs="Times New Roman"/>
          <w:lang w:val="ro-RO"/>
        </w:rPr>
        <w:t xml:space="preserve">) nu mai vine ca mai înainte fără chip [fără formă- </w:t>
      </w:r>
      <w:r w:rsidRPr="00EA3B4B">
        <w:rPr>
          <w:rFonts w:cs="Times New Roman"/>
          <w:i/>
          <w:lang w:val="ro-RO"/>
        </w:rPr>
        <w:t>amorphos</w:t>
      </w:r>
      <w:r w:rsidRPr="00EA3B4B">
        <w:rPr>
          <w:rFonts w:cs="Times New Roman"/>
          <w:lang w:val="ro-RO"/>
        </w:rPr>
        <w:t>] şi fără înfăţişare (</w:t>
      </w:r>
      <w:r w:rsidRPr="00EA3B4B">
        <w:rPr>
          <w:rFonts w:cs="Times New Roman"/>
          <w:i/>
          <w:lang w:val="ro-RO"/>
        </w:rPr>
        <w:t>aneideos</w:t>
      </w:r>
      <w:r w:rsidRPr="00EA3B4B">
        <w:rPr>
          <w:rFonts w:cs="Times New Roman"/>
          <w:lang w:val="ro-RO"/>
        </w:rPr>
        <w:t>), nici venirea şi prezenţa luminii Lui la noi nu se mai face în tăcere. Dar cum anume? Într-o formă oarecare (</w:t>
      </w:r>
      <w:r w:rsidRPr="00EA3B4B">
        <w:rPr>
          <w:rFonts w:cs="Times New Roman"/>
          <w:i/>
          <w:lang w:val="ro-RO"/>
        </w:rPr>
        <w:t>en morphe tini</w:t>
      </w:r>
      <w:r w:rsidRPr="00EA3B4B">
        <w:rPr>
          <w:rFonts w:cs="Times New Roman"/>
          <w:lang w:val="ro-RO"/>
        </w:rPr>
        <w:t>), fireşte a lui Dumnezeu; desigur, Dumnezeu nu Se arată într-o figură (</w:t>
      </w:r>
      <w:r w:rsidRPr="00EA3B4B">
        <w:rPr>
          <w:rFonts w:cs="Times New Roman"/>
          <w:i/>
          <w:lang w:val="ro-RO"/>
        </w:rPr>
        <w:t>schemati</w:t>
      </w:r>
      <w:r w:rsidRPr="00EA3B4B">
        <w:rPr>
          <w:rFonts w:cs="Times New Roman"/>
          <w:lang w:val="ro-RO"/>
        </w:rPr>
        <w:t>) sau o întipărire (</w:t>
      </w:r>
      <w:r w:rsidRPr="00EA3B4B">
        <w:rPr>
          <w:rFonts w:cs="Times New Roman"/>
          <w:i/>
          <w:lang w:val="ro-RO"/>
        </w:rPr>
        <w:t>ektypomati</w:t>
      </w:r>
      <w:r w:rsidRPr="00EA3B4B">
        <w:rPr>
          <w:rFonts w:cs="Times New Roman"/>
          <w:lang w:val="ro-RO"/>
        </w:rPr>
        <w:t>), ci luând chip [formă] într-o lumină neînţeleasă, neapropiată şi fără chip [formă] (</w:t>
      </w:r>
      <w:r w:rsidRPr="00EA3B4B">
        <w:rPr>
          <w:rFonts w:cs="Times New Roman"/>
          <w:i/>
          <w:lang w:val="ro-RO"/>
        </w:rPr>
        <w:t>en amorpho memorphomenos photi</w:t>
      </w:r>
      <w:r w:rsidRPr="00EA3B4B">
        <w:rPr>
          <w:rFonts w:cs="Times New Roman"/>
          <w:lang w:val="ro-RO"/>
        </w:rPr>
        <w:t>)</w:t>
      </w:r>
      <w:r w:rsidRPr="00EA3B4B">
        <w:rPr>
          <w:rStyle w:val="FootnoteReference"/>
          <w:rFonts w:cs="Times New Roman"/>
          <w:lang w:val="ro-RO"/>
        </w:rPr>
        <w:footnoteReference w:id="142"/>
      </w:r>
      <w:r w:rsidRPr="00EA3B4B">
        <w:rPr>
          <w:rFonts w:cs="Times New Roman"/>
          <w:lang w:val="ro-RO"/>
        </w:rPr>
        <w:t>, - căci nu putem spune sau exprima mai mult -, dar Cel nevăzut Se arată în chip arătat şi Se face cunoscut în chip foarte cognoscibil şi Se vede în chip limpede, Cel prin fire Dumnezeu vorbeşte şi ascultă în chip nevăzut (</w:t>
      </w:r>
      <w:r w:rsidRPr="00EA3B4B">
        <w:rPr>
          <w:rFonts w:cs="Times New Roman"/>
          <w:i/>
          <w:lang w:val="ro-RO"/>
        </w:rPr>
        <w:t>aoratos</w:t>
      </w:r>
      <w:r w:rsidRPr="00EA3B4B">
        <w:rPr>
          <w:rFonts w:cs="Times New Roman"/>
          <w:lang w:val="ro-RO"/>
        </w:rPr>
        <w:t>) şi grăieşte ca un prieten cu prietenul său, faţă către Faţă (Ieş. 33, 11), cu dumnezeii (</w:t>
      </w:r>
      <w:r w:rsidRPr="00EA3B4B">
        <w:rPr>
          <w:rFonts w:cs="Times New Roman"/>
          <w:i/>
          <w:lang w:val="ro-RO"/>
        </w:rPr>
        <w:t>theois</w:t>
      </w:r>
      <w:r w:rsidRPr="00EA3B4B">
        <w:rPr>
          <w:rFonts w:cs="Times New Roman"/>
          <w:lang w:val="ro-RO"/>
        </w:rPr>
        <w:t>) născuţi din El după har (</w:t>
      </w:r>
      <w:r w:rsidRPr="00EA3B4B">
        <w:rPr>
          <w:rFonts w:cs="Times New Roman"/>
          <w:i/>
          <w:lang w:val="ro-RO"/>
        </w:rPr>
        <w:t>kata charin ex autou gennetheisi</w:t>
      </w:r>
      <w:r w:rsidRPr="00EA3B4B">
        <w:rPr>
          <w:rFonts w:cs="Times New Roman"/>
          <w:lang w:val="ro-RO"/>
        </w:rPr>
        <w:t>), iubeşte ca un tată şi e iubit foarte fierbinte de către fii, şi se face acestora contemplaţie minunată (</w:t>
      </w:r>
      <w:r w:rsidRPr="00EA3B4B">
        <w:rPr>
          <w:rFonts w:cs="Times New Roman"/>
          <w:i/>
          <w:lang w:val="ro-RO"/>
        </w:rPr>
        <w:t>xenon theama</w:t>
      </w:r>
      <w:r w:rsidRPr="00EA3B4B">
        <w:rPr>
          <w:rFonts w:cs="Times New Roman"/>
          <w:lang w:val="ro-RO"/>
        </w:rPr>
        <w:t>) şi auzire şi mai emoţionantă (</w:t>
      </w:r>
      <w:r w:rsidRPr="00EA3B4B">
        <w:rPr>
          <w:rFonts w:cs="Times New Roman"/>
          <w:i/>
          <w:lang w:val="ro-RO"/>
        </w:rPr>
        <w:t>phriktoteron akousma</w:t>
      </w:r>
      <w:r w:rsidRPr="00EA3B4B">
        <w:rPr>
          <w:rFonts w:cs="Times New Roman"/>
          <w:lang w:val="ro-RO"/>
        </w:rPr>
        <w:t>), care nici nu poate fi rostită în chip vrednic de către ei, nici nu suportă să fie acoperită de tăcere”</w:t>
      </w:r>
      <w:r w:rsidRPr="00EA3B4B">
        <w:rPr>
          <w:rStyle w:val="FootnoteReference"/>
          <w:rFonts w:cs="Times New Roman"/>
          <w:lang w:val="ro-RO"/>
        </w:rPr>
        <w:footnoteReference w:id="143"/>
      </w:r>
      <w:r w:rsidRPr="00EA3B4B">
        <w:rPr>
          <w:rFonts w:cs="Times New Roman"/>
          <w:lang w:val="ro-RO"/>
        </w:rPr>
        <w:t>.</w:t>
      </w:r>
    </w:p>
    <w:p w:rsidR="004D40C5" w:rsidRPr="00EA3B4B" w:rsidRDefault="004D40C5" w:rsidP="004D40C5">
      <w:pPr>
        <w:ind w:left="-567" w:right="-709"/>
        <w:rPr>
          <w:rFonts w:cs="Times New Roman"/>
        </w:rPr>
      </w:pPr>
    </w:p>
    <w:p w:rsidR="004D40C5" w:rsidRDefault="004D40C5" w:rsidP="004D40C5">
      <w:pPr>
        <w:ind w:left="-567" w:right="-709"/>
        <w:rPr>
          <w:rFonts w:cs="Times New Roman"/>
        </w:rPr>
      </w:pPr>
    </w:p>
    <w:p w:rsidR="004D40C5" w:rsidRDefault="004D40C5" w:rsidP="004D40C5">
      <w:pPr>
        <w:ind w:left="-567" w:right="-709"/>
        <w:rPr>
          <w:rFonts w:cs="Times New Roman"/>
        </w:rPr>
      </w:pPr>
    </w:p>
    <w:p w:rsidR="004D40C5" w:rsidRPr="00B66451" w:rsidRDefault="004D40C5" w:rsidP="004D40C5">
      <w:pPr>
        <w:ind w:left="-567" w:right="-709"/>
        <w:rPr>
          <w:rFonts w:cs="Times New Roman"/>
          <w:lang w:val="ro-RO"/>
        </w:rPr>
      </w:pPr>
      <w:r>
        <w:rPr>
          <w:rFonts w:cs="Times New Roman"/>
        </w:rPr>
        <w:t>Pr.conf.Nicolae Mo</w:t>
      </w:r>
      <w:r>
        <w:rPr>
          <w:rFonts w:cs="Times New Roman"/>
          <w:lang w:val="ro-RO"/>
        </w:rPr>
        <w:t>șoiu</w:t>
      </w:r>
    </w:p>
    <w:p w:rsidR="0034512C" w:rsidRDefault="0034512C">
      <w:bookmarkStart w:id="0" w:name="_GoBack"/>
      <w:bookmarkEnd w:id="0"/>
    </w:p>
    <w:sectPr w:rsidR="0034512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33B6" w:rsidRDefault="008433B6" w:rsidP="004D40C5">
      <w:r>
        <w:separator/>
      </w:r>
    </w:p>
  </w:endnote>
  <w:endnote w:type="continuationSeparator" w:id="0">
    <w:p w:rsidR="008433B6" w:rsidRDefault="008433B6" w:rsidP="004D40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9826268"/>
      <w:docPartObj>
        <w:docPartGallery w:val="Page Numbers (Bottom of Page)"/>
        <w:docPartUnique/>
      </w:docPartObj>
    </w:sdtPr>
    <w:sdtEndPr>
      <w:rPr>
        <w:noProof/>
      </w:rPr>
    </w:sdtEndPr>
    <w:sdtContent>
      <w:p w:rsidR="00030785" w:rsidRDefault="008433B6">
        <w:pPr>
          <w:pStyle w:val="Footer"/>
          <w:jc w:val="center"/>
        </w:pPr>
        <w:r>
          <w:fldChar w:fldCharType="begin"/>
        </w:r>
        <w:r>
          <w:instrText xml:space="preserve"> PAGE   \* MERGEFORMAT </w:instrText>
        </w:r>
        <w:r>
          <w:fldChar w:fldCharType="separate"/>
        </w:r>
        <w:r w:rsidR="004D40C5">
          <w:rPr>
            <w:noProof/>
          </w:rPr>
          <w:t>20</w:t>
        </w:r>
        <w:r>
          <w:rPr>
            <w:noProof/>
          </w:rPr>
          <w:fldChar w:fldCharType="end"/>
        </w:r>
      </w:p>
    </w:sdtContent>
  </w:sdt>
  <w:p w:rsidR="00030785" w:rsidRDefault="008433B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33B6" w:rsidRDefault="008433B6" w:rsidP="004D40C5">
      <w:r>
        <w:separator/>
      </w:r>
    </w:p>
  </w:footnote>
  <w:footnote w:type="continuationSeparator" w:id="0">
    <w:p w:rsidR="008433B6" w:rsidRDefault="008433B6" w:rsidP="004D40C5">
      <w:r>
        <w:continuationSeparator/>
      </w:r>
    </w:p>
  </w:footnote>
  <w:footnote w:id="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Prof. Acad. Dr. Dumitru Stăniloae, </w:t>
      </w:r>
      <w:r w:rsidRPr="006A62D4">
        <w:rPr>
          <w:i/>
          <w:sz w:val="20"/>
          <w:lang w:val="ro-RO"/>
        </w:rPr>
        <w:t xml:space="preserve">Studii de Teologie Dogmatică Ortodoxă..., </w:t>
      </w:r>
      <w:r w:rsidRPr="006A62D4">
        <w:rPr>
          <w:sz w:val="20"/>
          <w:lang w:val="ro-RO"/>
        </w:rPr>
        <w:t>p. 163.</w:t>
      </w:r>
    </w:p>
  </w:footnote>
  <w:footnote w:id="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Maciej </w:t>
      </w:r>
      <w:r w:rsidRPr="006A62D4">
        <w:rPr>
          <w:sz w:val="20"/>
          <w:lang w:val="ro-RO"/>
        </w:rPr>
        <w:t xml:space="preserve">Bielawski, </w:t>
      </w:r>
      <w:r w:rsidRPr="006A62D4">
        <w:rPr>
          <w:bCs/>
          <w:i/>
          <w:sz w:val="20"/>
          <w:lang w:val="ro-RO"/>
        </w:rPr>
        <w:t>Părintele Dumitru Stăniloae, o viziune filocalică despre lume</w:t>
      </w:r>
      <w:r w:rsidRPr="006A62D4">
        <w:rPr>
          <w:sz w:val="20"/>
          <w:lang w:val="ro-RO"/>
        </w:rPr>
        <w:t>, Ed. Deisis, Sibiu, 1998, p. 13.</w:t>
      </w:r>
    </w:p>
  </w:footnote>
  <w:footnote w:id="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Jürgen </w:t>
      </w:r>
      <w:r w:rsidRPr="006A62D4">
        <w:rPr>
          <w:sz w:val="20"/>
          <w:lang w:val="ro-RO"/>
        </w:rPr>
        <w:t xml:space="preserve">Moltmann, </w:t>
      </w:r>
      <w:r w:rsidRPr="006A62D4">
        <w:rPr>
          <w:i/>
          <w:iCs/>
          <w:sz w:val="20"/>
          <w:lang w:val="ro-RO"/>
        </w:rPr>
        <w:t xml:space="preserve">Introducere </w:t>
      </w:r>
      <w:r w:rsidRPr="006A62D4">
        <w:rPr>
          <w:iCs/>
          <w:sz w:val="20"/>
          <w:lang w:val="ro-RO"/>
        </w:rPr>
        <w:t xml:space="preserve">la </w:t>
      </w:r>
      <w:r w:rsidRPr="006A62D4">
        <w:rPr>
          <w:sz w:val="20"/>
          <w:lang w:val="ro-RO"/>
        </w:rPr>
        <w:t>Dumitru Stăniloae,</w:t>
      </w:r>
      <w:r w:rsidRPr="006A62D4">
        <w:rPr>
          <w:bCs/>
          <w:sz w:val="20"/>
          <w:lang w:val="ro-RO"/>
        </w:rPr>
        <w:t xml:space="preserve"> </w:t>
      </w:r>
      <w:r w:rsidRPr="006A62D4">
        <w:rPr>
          <w:bCs/>
          <w:i/>
          <w:sz w:val="20"/>
          <w:lang w:val="ro-RO"/>
        </w:rPr>
        <w:t>Orthodoxe Dogmatik</w:t>
      </w:r>
      <w:r w:rsidRPr="006A62D4">
        <w:rPr>
          <w:i/>
          <w:sz w:val="20"/>
          <w:lang w:val="ro-RO"/>
        </w:rPr>
        <w:t>,</w:t>
      </w:r>
      <w:r w:rsidRPr="006A62D4">
        <w:rPr>
          <w:sz w:val="20"/>
          <w:lang w:val="ro-RO"/>
        </w:rPr>
        <w:t xml:space="preserve"> trad. în lb. germană de Hermann Pitters, Zürich-Einsiedeln-Köln, Gütersloher, 1985, p. 10, la Kallistos Ware, în prefaţa la Dumitru Stăniloae, </w:t>
      </w:r>
      <w:r w:rsidRPr="006A62D4">
        <w:rPr>
          <w:bCs/>
          <w:i/>
          <w:sz w:val="20"/>
          <w:lang w:val="ro-RO"/>
        </w:rPr>
        <w:t xml:space="preserve">The Experience of God </w:t>
      </w:r>
      <w:r w:rsidRPr="006A62D4">
        <w:rPr>
          <w:sz w:val="20"/>
          <w:lang w:val="ro-RO"/>
        </w:rPr>
        <w:t>(</w:t>
      </w:r>
      <w:r w:rsidRPr="006A62D4">
        <w:rPr>
          <w:i/>
          <w:sz w:val="20"/>
          <w:lang w:val="ro-RO"/>
        </w:rPr>
        <w:t>Teologia Dogmatică Ortodoxă</w:t>
      </w:r>
      <w:r w:rsidRPr="006A62D4">
        <w:rPr>
          <w:sz w:val="20"/>
          <w:lang w:val="ro-RO"/>
        </w:rPr>
        <w:t>, vol. I, trad. de Ioan Ioniţă şi Robert Baringer), Holy Cross Orthodox Press, Brookline, Massachusetts,</w:t>
      </w:r>
      <w:r>
        <w:rPr>
          <w:sz w:val="20"/>
          <w:lang w:val="ro-RO"/>
        </w:rPr>
        <w:t xml:space="preserve"> </w:t>
      </w:r>
      <w:r w:rsidRPr="006A62D4">
        <w:rPr>
          <w:sz w:val="20"/>
          <w:lang w:val="ro-RO"/>
        </w:rPr>
        <w:t>1994, p. XX.</w:t>
      </w:r>
    </w:p>
  </w:footnote>
  <w:footnote w:id="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Gheorghe </w:t>
      </w:r>
      <w:r w:rsidRPr="006A62D4">
        <w:rPr>
          <w:sz w:val="20"/>
          <w:lang w:val="ro-RO"/>
        </w:rPr>
        <w:t>Drăgulin, „</w:t>
      </w:r>
      <w:r w:rsidRPr="006A62D4">
        <w:rPr>
          <w:bCs/>
          <w:sz w:val="20"/>
          <w:lang w:val="ro-RO"/>
        </w:rPr>
        <w:t>Un mare filosof creştin Dumitru Stăniloae</w:t>
      </w:r>
      <w:r w:rsidRPr="006A62D4">
        <w:rPr>
          <w:sz w:val="20"/>
          <w:lang w:val="ro-RO"/>
        </w:rPr>
        <w:t xml:space="preserve">”, în </w:t>
      </w:r>
      <w:r w:rsidRPr="006A62D4">
        <w:rPr>
          <w:i/>
          <w:iCs/>
          <w:sz w:val="20"/>
          <w:lang w:val="ro-RO"/>
        </w:rPr>
        <w:t>Curierul românesc</w:t>
      </w:r>
      <w:r w:rsidRPr="006A62D4">
        <w:rPr>
          <w:sz w:val="20"/>
          <w:lang w:val="ro-RO"/>
        </w:rPr>
        <w:t>, nr. 20-21, (1990), p. 7</w:t>
      </w:r>
      <w:r>
        <w:rPr>
          <w:sz w:val="20"/>
          <w:lang w:val="ro-RO"/>
        </w:rPr>
        <w:t>,</w:t>
      </w:r>
      <w:r w:rsidRPr="006A62D4">
        <w:rPr>
          <w:sz w:val="20"/>
          <w:lang w:val="ro-RO"/>
        </w:rPr>
        <w:t xml:space="preserve"> sau „</w:t>
      </w:r>
      <w:r w:rsidRPr="006A62D4">
        <w:rPr>
          <w:bCs/>
          <w:sz w:val="20"/>
          <w:lang w:val="ro-RO"/>
        </w:rPr>
        <w:t>Recunoaşterea supremă în ţară a valorii unui mare filosof şi teolog creştin</w:t>
      </w:r>
      <w:r w:rsidRPr="006A62D4">
        <w:rPr>
          <w:sz w:val="20"/>
          <w:lang w:val="ro-RO"/>
        </w:rPr>
        <w:t>”, în</w:t>
      </w:r>
      <w:r w:rsidRPr="006A62D4">
        <w:rPr>
          <w:i/>
          <w:iCs/>
          <w:sz w:val="20"/>
          <w:lang w:val="ro-RO"/>
        </w:rPr>
        <w:t xml:space="preserve"> B.O.R.</w:t>
      </w:r>
      <w:r w:rsidRPr="006A62D4">
        <w:rPr>
          <w:sz w:val="20"/>
          <w:lang w:val="ro-RO"/>
        </w:rPr>
        <w:t>, nr. 56, (1990), pp. 38-30.</w:t>
      </w:r>
    </w:p>
  </w:footnote>
  <w:footnote w:id="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Victor </w:t>
      </w:r>
      <w:r w:rsidRPr="006A62D4">
        <w:rPr>
          <w:sz w:val="20"/>
          <w:lang w:val="ro-RO"/>
        </w:rPr>
        <w:t>Botez, „</w:t>
      </w:r>
      <w:r w:rsidRPr="006A62D4">
        <w:rPr>
          <w:bCs/>
          <w:sz w:val="20"/>
          <w:lang w:val="ro-RO"/>
        </w:rPr>
        <w:t>Un filosof pan-ortodox”</w:t>
      </w:r>
      <w:r w:rsidRPr="006A62D4">
        <w:rPr>
          <w:sz w:val="20"/>
          <w:lang w:val="ro-RO"/>
        </w:rPr>
        <w:t xml:space="preserve">, în </w:t>
      </w:r>
      <w:r w:rsidRPr="006A62D4">
        <w:rPr>
          <w:i/>
          <w:iCs/>
          <w:sz w:val="20"/>
          <w:lang w:val="ro-RO"/>
        </w:rPr>
        <w:t>Revista de filozofie</w:t>
      </w:r>
      <w:r w:rsidRPr="006A62D4">
        <w:rPr>
          <w:sz w:val="20"/>
          <w:lang w:val="ro-RO"/>
        </w:rPr>
        <w:t>, nr. 6, (1992), pp. 543-549.</w:t>
      </w:r>
    </w:p>
  </w:footnote>
  <w:footnote w:id="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pacing w:val="-4"/>
          <w:sz w:val="20"/>
          <w:lang w:val="ro-RO"/>
        </w:rPr>
        <w:t xml:space="preserve">Expresie </w:t>
      </w:r>
      <w:r w:rsidRPr="006A62D4">
        <w:rPr>
          <w:spacing w:val="-4"/>
          <w:sz w:val="20"/>
          <w:lang w:val="ro-RO"/>
        </w:rPr>
        <w:t xml:space="preserve">a Părintelui Georges Florovsky citată de Kallistos Ware, </w:t>
      </w:r>
      <w:r w:rsidRPr="006A62D4">
        <w:rPr>
          <w:i/>
          <w:spacing w:val="-4"/>
          <w:sz w:val="20"/>
          <w:lang w:val="ro-RO"/>
        </w:rPr>
        <w:t>op. cit</w:t>
      </w:r>
      <w:r w:rsidRPr="006A62D4">
        <w:rPr>
          <w:spacing w:val="-4"/>
          <w:sz w:val="20"/>
          <w:lang w:val="ro-RO"/>
        </w:rPr>
        <w:t xml:space="preserve">., (nota 2), </w:t>
      </w:r>
      <w:r w:rsidRPr="006A62D4">
        <w:rPr>
          <w:sz w:val="20"/>
          <w:lang w:val="ro-RO"/>
        </w:rPr>
        <w:t>p. IX.</w:t>
      </w:r>
    </w:p>
  </w:footnote>
  <w:footnote w:id="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în </w:t>
      </w:r>
      <w:r w:rsidRPr="006A62D4">
        <w:rPr>
          <w:i/>
          <w:sz w:val="20"/>
          <w:lang w:val="ro-RO"/>
        </w:rPr>
        <w:t>P</w:t>
      </w:r>
      <w:r>
        <w:rPr>
          <w:i/>
          <w:sz w:val="20"/>
          <w:lang w:val="ro-RO"/>
        </w:rPr>
        <w:t>.</w:t>
      </w:r>
      <w:r w:rsidRPr="006A62D4">
        <w:rPr>
          <w:i/>
          <w:sz w:val="20"/>
          <w:lang w:val="ro-RO"/>
        </w:rPr>
        <w:t>S</w:t>
      </w:r>
      <w:r>
        <w:rPr>
          <w:i/>
          <w:sz w:val="20"/>
          <w:lang w:val="ro-RO"/>
        </w:rPr>
        <w:t>.</w:t>
      </w:r>
      <w:r w:rsidRPr="006A62D4">
        <w:rPr>
          <w:i/>
          <w:sz w:val="20"/>
          <w:lang w:val="ro-RO"/>
        </w:rPr>
        <w:t>B</w:t>
      </w:r>
      <w:r>
        <w:rPr>
          <w:i/>
          <w:sz w:val="20"/>
          <w:lang w:val="ro-RO"/>
        </w:rPr>
        <w:t>.</w:t>
      </w:r>
      <w:r w:rsidRPr="006A62D4">
        <w:rPr>
          <w:sz w:val="20"/>
          <w:lang w:val="ro-RO"/>
        </w:rPr>
        <w:t>, vol. 80…, p. 42.</w:t>
      </w:r>
    </w:p>
  </w:footnote>
  <w:footnote w:id="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Prefaţă </w:t>
      </w:r>
      <w:r w:rsidRPr="006A62D4">
        <w:rPr>
          <w:sz w:val="20"/>
          <w:lang w:val="ro-RO"/>
        </w:rPr>
        <w:t xml:space="preserve">la: Părintele Dumitru Stăniloae, </w:t>
      </w:r>
      <w:r w:rsidRPr="006A62D4">
        <w:rPr>
          <w:i/>
          <w:sz w:val="20"/>
          <w:lang w:val="ro-RO"/>
        </w:rPr>
        <w:t>Rugăciunea lui Iisus şi experienţa Duhului Sfânt,</w:t>
      </w:r>
      <w:r w:rsidRPr="006A62D4">
        <w:rPr>
          <w:sz w:val="20"/>
          <w:lang w:val="ro-RO"/>
        </w:rPr>
        <w:t xml:space="preserve"> cuvânt înainte de Arhimandrit Gheorghios Grigoriatul, Ed. Deisis, Sibiu, 1995, p. 15.</w:t>
      </w:r>
    </w:p>
  </w:footnote>
  <w:footnote w:id="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 xml:space="preserve">Studii de Teologie Dogmatică..., </w:t>
      </w:r>
      <w:r w:rsidRPr="006A62D4">
        <w:rPr>
          <w:sz w:val="20"/>
          <w:lang w:val="ro-RO"/>
        </w:rPr>
        <w:t>p. 163.</w:t>
      </w:r>
    </w:p>
  </w:footnote>
  <w:footnote w:id="1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Thomas </w:t>
      </w:r>
      <w:r w:rsidRPr="006A62D4">
        <w:rPr>
          <w:sz w:val="20"/>
          <w:lang w:val="ro-RO"/>
        </w:rPr>
        <w:t>F. Torrance</w:t>
      </w:r>
      <w:r w:rsidRPr="006A62D4">
        <w:rPr>
          <w:i/>
          <w:sz w:val="20"/>
          <w:lang w:val="ro-RO"/>
        </w:rPr>
        <w:t>, God and Rationality,</w:t>
      </w:r>
      <w:r w:rsidRPr="006A62D4">
        <w:rPr>
          <w:sz w:val="20"/>
          <w:lang w:val="ro-RO"/>
        </w:rPr>
        <w:t xml:space="preserve"> Oxford University Press, 1971, p. 165.</w:t>
      </w:r>
    </w:p>
  </w:footnote>
  <w:footnote w:id="1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TDO</w:t>
      </w:r>
      <w:r w:rsidRPr="006A62D4">
        <w:rPr>
          <w:sz w:val="20"/>
          <w:lang w:val="ro-RO"/>
        </w:rPr>
        <w:t>, vol. I..., p. 126.</w:t>
      </w:r>
    </w:p>
  </w:footnote>
  <w:footnote w:id="1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Emil </w:t>
      </w:r>
      <w:r w:rsidRPr="006A62D4">
        <w:rPr>
          <w:sz w:val="20"/>
          <w:lang w:val="ro-RO"/>
        </w:rPr>
        <w:t xml:space="preserve">Bartoş, </w:t>
      </w:r>
      <w:r w:rsidRPr="006A62D4">
        <w:rPr>
          <w:i/>
          <w:sz w:val="20"/>
          <w:lang w:val="ro-RO"/>
        </w:rPr>
        <w:t>The Concept of Deification in Eastern</w:t>
      </w:r>
      <w:r w:rsidRPr="006A62D4">
        <w:rPr>
          <w:sz w:val="20"/>
          <w:lang w:val="ro-RO"/>
        </w:rPr>
        <w:t xml:space="preserve"> </w:t>
      </w:r>
      <w:r w:rsidRPr="006A62D4">
        <w:rPr>
          <w:i/>
          <w:sz w:val="20"/>
          <w:lang w:val="ro-RO"/>
        </w:rPr>
        <w:t xml:space="preserve">Orthodox Theology with detalied Reference to Dumitru Stăniloae, </w:t>
      </w:r>
      <w:r w:rsidRPr="006A62D4">
        <w:rPr>
          <w:sz w:val="20"/>
          <w:lang w:val="ro-RO"/>
        </w:rPr>
        <w:t xml:space="preserve">mss., teză de doctorat, University of Lampester, Wales, (Marea Britanie) 1996, p. 25 (t.r. </w:t>
      </w:r>
      <w:r w:rsidRPr="006A62D4">
        <w:rPr>
          <w:i/>
          <w:sz w:val="20"/>
          <w:lang w:val="ro-RO"/>
        </w:rPr>
        <w:t>Conceptul de îndumnezeire în teologia lui Dumitru Stăniloae,</w:t>
      </w:r>
      <w:r w:rsidRPr="006A62D4">
        <w:rPr>
          <w:sz w:val="20"/>
          <w:lang w:val="ro-RO"/>
        </w:rPr>
        <w:t xml:space="preserve"> Ed. Institutului Biblic „Emanuel”, Oradea, 1999, p. 45).</w:t>
      </w:r>
    </w:p>
  </w:footnote>
  <w:footnote w:id="1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L. </w:t>
      </w:r>
      <w:r w:rsidRPr="006A62D4">
        <w:rPr>
          <w:sz w:val="20"/>
          <w:lang w:val="ro-RO"/>
        </w:rPr>
        <w:t xml:space="preserve">Bouyer îşi manifestă îngrijorarea relativ la faptul că în ultima perioadă a devenit o modă la teologii protestanţi, dar nu numai, să considere tot ceea ce ţine de contemplaţie în tradiţia creştină, ca fiind de origine grecească. Cauza ar fi studierea unor termeni filosofici scoşi din contextul în care au fost folosiţi de Părinţi. De exemplu, este absolut fals să se afirme că termenul grecesc </w:t>
      </w:r>
      <w:r w:rsidRPr="006A62D4">
        <w:rPr>
          <w:i/>
          <w:sz w:val="20"/>
          <w:lang w:val="ro-RO"/>
        </w:rPr>
        <w:t>gnosis</w:t>
      </w:r>
      <w:r w:rsidRPr="006A62D4">
        <w:rPr>
          <w:sz w:val="20"/>
          <w:lang w:val="ro-RO"/>
        </w:rPr>
        <w:t>, însemnând</w:t>
      </w:r>
      <w:r w:rsidRPr="006A62D4">
        <w:rPr>
          <w:i/>
          <w:sz w:val="20"/>
          <w:lang w:val="ro-RO"/>
        </w:rPr>
        <w:t xml:space="preserve"> cunoaştere, </w:t>
      </w:r>
      <w:r w:rsidRPr="006A62D4">
        <w:rPr>
          <w:sz w:val="20"/>
          <w:lang w:val="ro-RO"/>
        </w:rPr>
        <w:t xml:space="preserve">ar fi fost împrumutat de Părinţi (Clement al Alexandriei şi Origen) din vocabularul ereticilor pe care cercetătorii din secolul al XIX-lea i-au numit „gnostici”, ca şi cum apelativul s-ar referi doar la ei. De fapt, Părinţii i-au numit pe aceşti eretici „pseudo-gnostici” rezervând Bisericii celei una adevărata „gnosis”. Este fals, de asemenea, să se afirme că prima dată cuvântul „gnosis” a fost folosit în filosofie, deoarece aici n-a avut niciodată un sens limitat, ci foarte larg. Cunoaşterea propriu-zis filosofică este numită totdeauna </w:t>
      </w:r>
      <w:r w:rsidRPr="006A62D4">
        <w:rPr>
          <w:i/>
          <w:sz w:val="20"/>
          <w:lang w:val="ro-RO"/>
        </w:rPr>
        <w:t>episteme</w:t>
      </w:r>
      <w:r w:rsidRPr="006A62D4">
        <w:rPr>
          <w:sz w:val="20"/>
          <w:lang w:val="ro-RO"/>
        </w:rPr>
        <w:t xml:space="preserve">, niciodată </w:t>
      </w:r>
      <w:r w:rsidRPr="006A62D4">
        <w:rPr>
          <w:i/>
          <w:sz w:val="20"/>
          <w:lang w:val="ro-RO"/>
        </w:rPr>
        <w:t>gnosis.</w:t>
      </w:r>
      <w:r w:rsidRPr="006A62D4">
        <w:rPr>
          <w:sz w:val="20"/>
          <w:lang w:val="ro-RO"/>
        </w:rPr>
        <w:t xml:space="preserve"> În </w:t>
      </w:r>
      <w:r w:rsidRPr="006A62D4">
        <w:rPr>
          <w:i/>
          <w:sz w:val="20"/>
          <w:lang w:val="ro-RO"/>
        </w:rPr>
        <w:t>Septuaginta</w:t>
      </w:r>
      <w:r w:rsidRPr="006A62D4">
        <w:rPr>
          <w:sz w:val="20"/>
          <w:lang w:val="ro-RO"/>
        </w:rPr>
        <w:t xml:space="preserve"> </w:t>
      </w:r>
      <w:r w:rsidRPr="006A62D4">
        <w:rPr>
          <w:i/>
          <w:sz w:val="20"/>
          <w:lang w:val="ro-RO"/>
        </w:rPr>
        <w:t>gnosis</w:t>
      </w:r>
      <w:r w:rsidRPr="006A62D4">
        <w:rPr>
          <w:sz w:val="20"/>
          <w:lang w:val="ro-RO"/>
        </w:rPr>
        <w:t xml:space="preserve"> ajunge să însemne cunoaşterea lui Dumnezeu</w:t>
      </w:r>
      <w:r w:rsidRPr="006A62D4">
        <w:rPr>
          <w:i/>
          <w:sz w:val="20"/>
          <w:lang w:val="ro-RO"/>
        </w:rPr>
        <w:t>.</w:t>
      </w:r>
      <w:r w:rsidRPr="006A62D4">
        <w:rPr>
          <w:sz w:val="20"/>
          <w:lang w:val="ro-RO"/>
        </w:rPr>
        <w:t xml:space="preserve"> Odată cu Philon din Alexandria, </w:t>
      </w:r>
      <w:r w:rsidRPr="006A62D4">
        <w:rPr>
          <w:i/>
          <w:sz w:val="20"/>
          <w:lang w:val="ro-RO"/>
        </w:rPr>
        <w:t>gnosis</w:t>
      </w:r>
      <w:r w:rsidRPr="006A62D4">
        <w:rPr>
          <w:sz w:val="20"/>
          <w:lang w:val="ro-RO"/>
        </w:rPr>
        <w:t xml:space="preserve"> desemnează cunoaşterea specific religioasă, dar întotdeauna în legătură cu textele biblice pe care le citează în greceşte. Termenul a fost folosit de primii scriitori creştini, ex. Sfântul Pavel, deoarece era termen biblic.- </w:t>
      </w:r>
      <w:r w:rsidRPr="006A62D4">
        <w:rPr>
          <w:i/>
          <w:sz w:val="20"/>
          <w:lang w:val="ro-RO"/>
        </w:rPr>
        <w:t>Introduction to Spirituality,</w:t>
      </w:r>
      <w:r w:rsidRPr="006A62D4">
        <w:rPr>
          <w:sz w:val="20"/>
          <w:lang w:val="ro-RO"/>
        </w:rPr>
        <w:t xml:space="preserve"> Desclee, New York, 1961, pp. 264, 267, 268.</w:t>
      </w:r>
    </w:p>
  </w:footnote>
  <w:footnote w:id="1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Paul </w:t>
      </w:r>
      <w:r w:rsidRPr="006A62D4">
        <w:rPr>
          <w:sz w:val="20"/>
          <w:lang w:val="ro-RO"/>
        </w:rPr>
        <w:t xml:space="preserve">Evdokimov, </w:t>
      </w:r>
      <w:r w:rsidRPr="006A62D4">
        <w:rPr>
          <w:i/>
          <w:sz w:val="20"/>
          <w:lang w:val="ro-RO"/>
        </w:rPr>
        <w:t xml:space="preserve">Cunoaşterea lui Dumnezeu în Tradiţia răsăriteană-Învăţătură patristică, liturgică şi iconografică, </w:t>
      </w:r>
      <w:r w:rsidRPr="006A62D4">
        <w:rPr>
          <w:sz w:val="20"/>
          <w:lang w:val="ro-RO"/>
        </w:rPr>
        <w:t>trad. rom., Pr. Lect. Univ. Dr. Vasile Răducă, Ed. Christiana, Bucureşti, 1995, pp. 20-21.</w:t>
      </w:r>
    </w:p>
  </w:footnote>
  <w:footnote w:id="1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Părintele </w:t>
      </w:r>
      <w:r w:rsidRPr="006A62D4">
        <w:rPr>
          <w:sz w:val="20"/>
          <w:lang w:val="ro-RO"/>
        </w:rPr>
        <w:t xml:space="preserve">Stăniloae a folosit adesea termenul </w:t>
      </w:r>
      <w:r w:rsidRPr="006A62D4">
        <w:rPr>
          <w:i/>
          <w:sz w:val="20"/>
          <w:lang w:val="ro-RO"/>
        </w:rPr>
        <w:t>experiere</w:t>
      </w:r>
      <w:r w:rsidRPr="006A62D4">
        <w:rPr>
          <w:sz w:val="20"/>
          <w:lang w:val="ro-RO"/>
        </w:rPr>
        <w:t xml:space="preserve"> pentru a desemna simţirea şi trăirea prezenţei lui Dumnezeu.</w:t>
      </w:r>
    </w:p>
  </w:footnote>
  <w:footnote w:id="1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„Cunoaşterea lui Dumnezeu la Sfântul Ioan Gură de Aur”, în </w:t>
      </w:r>
      <w:r w:rsidRPr="006A62D4">
        <w:rPr>
          <w:i/>
          <w:sz w:val="20"/>
          <w:lang w:val="ro-RO"/>
        </w:rPr>
        <w:t>O.</w:t>
      </w:r>
      <w:r w:rsidRPr="006A62D4">
        <w:rPr>
          <w:sz w:val="20"/>
          <w:lang w:val="ro-RO"/>
        </w:rPr>
        <w:t>, nr. 4, (1957), p. 4.</w:t>
      </w:r>
    </w:p>
  </w:footnote>
  <w:footnote w:id="1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„Cele </w:t>
      </w:r>
      <w:r w:rsidRPr="006A62D4">
        <w:rPr>
          <w:sz w:val="20"/>
          <w:lang w:val="ro-RO"/>
        </w:rPr>
        <w:t xml:space="preserve">două sute de capete despre cunoaşterea lui Dumnezeu”, </w:t>
      </w:r>
      <w:r w:rsidRPr="006A62D4">
        <w:rPr>
          <w:i/>
          <w:sz w:val="20"/>
          <w:lang w:val="ro-RO"/>
        </w:rPr>
        <w:t xml:space="preserve">PG </w:t>
      </w:r>
      <w:r w:rsidRPr="006A62D4">
        <w:rPr>
          <w:sz w:val="20"/>
          <w:lang w:val="ro-RO"/>
        </w:rPr>
        <w:t xml:space="preserve">90, 1094D - 1096A; t.r. în </w:t>
      </w:r>
      <w:r w:rsidRPr="006A62D4">
        <w:rPr>
          <w:i/>
          <w:sz w:val="20"/>
          <w:lang w:val="ro-RO"/>
        </w:rPr>
        <w:t xml:space="preserve">F.R., </w:t>
      </w:r>
      <w:r w:rsidRPr="006A62D4">
        <w:rPr>
          <w:sz w:val="20"/>
          <w:lang w:val="ro-RO"/>
        </w:rPr>
        <w:t>vol. II…, pp. 59-60.</w:t>
      </w:r>
    </w:p>
  </w:footnote>
  <w:footnote w:id="1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200.</w:t>
      </w:r>
    </w:p>
  </w:footnote>
  <w:footnote w:id="1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Pr>
          <w:sz w:val="20"/>
          <w:lang w:val="ro-RO"/>
        </w:rPr>
        <w:t>„</w:t>
      </w:r>
      <w:r w:rsidRPr="00105B2C">
        <w:rPr>
          <w:sz w:val="20"/>
          <w:lang w:val="ro-RO"/>
        </w:rPr>
        <w:t>Răspunsuri către Thalasie</w:t>
      </w:r>
      <w:r>
        <w:rPr>
          <w:sz w:val="20"/>
          <w:lang w:val="ro-RO"/>
        </w:rPr>
        <w:t>”</w:t>
      </w:r>
      <w:r w:rsidRPr="006A62D4">
        <w:rPr>
          <w:sz w:val="20"/>
          <w:lang w:val="ro-RO"/>
        </w:rPr>
        <w:t xml:space="preserve"> 59; 90, 608 A, t.r. în </w:t>
      </w:r>
      <w:r w:rsidRPr="006A62D4">
        <w:rPr>
          <w:i/>
          <w:sz w:val="20"/>
          <w:lang w:val="ro-RO"/>
        </w:rPr>
        <w:t>F.R.</w:t>
      </w:r>
      <w:r w:rsidRPr="006A62D4">
        <w:rPr>
          <w:sz w:val="20"/>
          <w:lang w:val="ro-RO"/>
        </w:rPr>
        <w:t>, vol. 3.</w:t>
      </w:r>
    </w:p>
  </w:footnote>
  <w:footnote w:id="2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Petru </w:t>
      </w:r>
      <w:r w:rsidRPr="006A62D4">
        <w:rPr>
          <w:sz w:val="20"/>
          <w:lang w:val="ro-RO"/>
        </w:rPr>
        <w:t xml:space="preserve">Florea, </w:t>
      </w:r>
      <w:r w:rsidRPr="006A62D4">
        <w:rPr>
          <w:i/>
          <w:sz w:val="20"/>
          <w:lang w:val="ro-RO"/>
        </w:rPr>
        <w:t>Opera exegetică a Sfântului Maxim Mărturisitorul sau Sfântul Maxim Mărturisitorul ca interpret al Sfinţilor Dionisie Areopagitul şi Grigorie Teologul</w:t>
      </w:r>
      <w:r w:rsidRPr="006A62D4">
        <w:rPr>
          <w:sz w:val="20"/>
          <w:lang w:val="ro-RO"/>
        </w:rPr>
        <w:t>, Ed. Academos, Târgu-Mureş, 1998, p. 33.</w:t>
      </w:r>
    </w:p>
  </w:footnote>
  <w:footnote w:id="2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„Dumnezeu este lumină”, în </w:t>
      </w:r>
      <w:r w:rsidRPr="006A62D4">
        <w:rPr>
          <w:i/>
          <w:sz w:val="20"/>
          <w:lang w:val="ro-RO"/>
        </w:rPr>
        <w:t>O.</w:t>
      </w:r>
      <w:r w:rsidRPr="006A62D4">
        <w:rPr>
          <w:sz w:val="20"/>
          <w:lang w:val="ro-RO"/>
        </w:rPr>
        <w:t>, nr. 1, (1974), p. 75.</w:t>
      </w:r>
    </w:p>
  </w:footnote>
  <w:footnote w:id="2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sidRPr="006A62D4">
        <w:rPr>
          <w:i/>
          <w:sz w:val="20"/>
          <w:lang w:val="ro-RO"/>
        </w:rPr>
        <w:t xml:space="preserve">Ambigua, </w:t>
      </w:r>
      <w:r w:rsidRPr="006A62D4">
        <w:rPr>
          <w:sz w:val="20"/>
          <w:lang w:val="ro-RO"/>
        </w:rPr>
        <w:t>1180…, p. 9.</w:t>
      </w:r>
    </w:p>
  </w:footnote>
  <w:footnote w:id="2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 xml:space="preserve">Mircea Eliade afirmă categoric: „Sacrul este un element în structura conştiinţei şi nu un stadiu în istoria acestei conştiinţe. La nivelurile cele mai arhaice ale culturii, a trăi ca fiinţă umană este în sine un act religios….”, </w:t>
      </w:r>
      <w:r w:rsidRPr="006A62D4">
        <w:rPr>
          <w:i/>
          <w:sz w:val="20"/>
          <w:lang w:val="ro-RO"/>
        </w:rPr>
        <w:t xml:space="preserve">Istoria credinţelor şi ideilor religioase, </w:t>
      </w:r>
      <w:r w:rsidRPr="006A62D4">
        <w:rPr>
          <w:sz w:val="20"/>
          <w:lang w:val="ro-RO"/>
        </w:rPr>
        <w:t>Ed. Știinţifică şi Enciclopedică, Bucureşti, 1981</w:t>
      </w:r>
      <w:r w:rsidRPr="006A62D4">
        <w:rPr>
          <w:i/>
          <w:sz w:val="20"/>
          <w:lang w:val="ro-RO"/>
        </w:rPr>
        <w:t xml:space="preserve">, </w:t>
      </w:r>
      <w:r w:rsidRPr="006A62D4">
        <w:rPr>
          <w:sz w:val="20"/>
          <w:lang w:val="ro-RO"/>
        </w:rPr>
        <w:t>vol. I, p. IX.</w:t>
      </w:r>
    </w:p>
  </w:footnote>
  <w:footnote w:id="2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Adam </w:t>
      </w:r>
      <w:r w:rsidRPr="006A62D4">
        <w:rPr>
          <w:sz w:val="20"/>
          <w:lang w:val="ro-RO"/>
        </w:rPr>
        <w:t xml:space="preserve">Îl vedea pe Creator în opera Sa, Îi vedea slava, el însuşi nefiind gol ci având un veşmânt de lumină, şi Îl auzea vorbindu-i. Dacă înainte de păcat comuniunea cu Dumnezeu nu cunoscuse sincope, după aceea Îl mai aude întrebându-l: </w:t>
      </w:r>
      <w:r w:rsidRPr="006A62D4">
        <w:rPr>
          <w:i/>
          <w:sz w:val="20"/>
          <w:lang w:val="ro-RO"/>
        </w:rPr>
        <w:t xml:space="preserve">„Unde eşti?” </w:t>
      </w:r>
      <w:r w:rsidRPr="006A62D4">
        <w:rPr>
          <w:sz w:val="20"/>
          <w:lang w:val="ro-RO"/>
        </w:rPr>
        <w:t xml:space="preserve">(Fc. 3, 9). Ar fi avut posibilitatea </w:t>
      </w:r>
      <w:r w:rsidRPr="006A62D4">
        <w:rPr>
          <w:i/>
          <w:sz w:val="20"/>
          <w:lang w:val="ro-RO"/>
        </w:rPr>
        <w:t>metanoiei</w:t>
      </w:r>
      <w:r w:rsidRPr="006A62D4">
        <w:rPr>
          <w:sz w:val="20"/>
          <w:lang w:val="ro-RO"/>
        </w:rPr>
        <w:t>, dar aceasta nu se produce, Adam pierde raiul ca loc şi stare de împreună vieţuire cu Dumnezeu şi va fi din ce în ce mai greu pentru El şi pentru urmaşi să mai discearnă chiar şi urmele paşilor lui Dumnezeu în natură. Nu înseamnă că Dumnezeu ar fi întrerupt comunicarea cu omul, pentru că, pe de o parte raţiunea umană chiar întunecată a mai putut percepe raţionalitatea lumii, iar pe de altă parte Duhul lui Dumnezeu „a grăit” prin prooroci.</w:t>
      </w:r>
    </w:p>
  </w:footnote>
  <w:footnote w:id="2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Chipul nemuritor al lui Dumnezeu</w:t>
      </w:r>
      <w:r w:rsidRPr="006A62D4">
        <w:rPr>
          <w:sz w:val="20"/>
          <w:lang w:val="ro-RO"/>
        </w:rPr>
        <w:t>, Ed. Mitropoliei Olteniei, Craiova, 1987, p. 151.</w:t>
      </w:r>
    </w:p>
  </w:footnote>
  <w:footnote w:id="26">
    <w:p w:rsidR="004D40C5" w:rsidRPr="006A62D4" w:rsidRDefault="004D40C5" w:rsidP="004D40C5">
      <w:pPr>
        <w:pStyle w:val="FootnoteText"/>
        <w:ind w:left="-567" w:right="-709"/>
        <w:jc w:val="both"/>
        <w:rPr>
          <w:sz w:val="20"/>
          <w:lang w:val="ro-RO"/>
        </w:rPr>
      </w:pPr>
      <w:r w:rsidRPr="006A62D4">
        <w:rPr>
          <w:rStyle w:val="FootnoteReference"/>
          <w:sz w:val="20"/>
        </w:rPr>
        <w:footnoteRef/>
      </w:r>
      <w:r w:rsidRPr="006A62D4">
        <w:rPr>
          <w:sz w:val="20"/>
        </w:rPr>
        <w:t xml:space="preserve"> </w:t>
      </w:r>
      <w:r w:rsidRPr="006A62D4">
        <w:rPr>
          <w:sz w:val="20"/>
          <w:lang w:val="ro-RO"/>
        </w:rPr>
        <w:t>Idem,</w:t>
      </w:r>
      <w:r w:rsidRPr="006A62D4">
        <w:rPr>
          <w:i/>
          <w:sz w:val="20"/>
          <w:lang w:val="ro-RO"/>
        </w:rPr>
        <w:t xml:space="preserve"> </w:t>
      </w:r>
      <w:r w:rsidRPr="006A62D4">
        <w:rPr>
          <w:i/>
          <w:sz w:val="20"/>
          <w:lang w:val="ro-RO"/>
        </w:rPr>
        <w:t>TDO</w:t>
      </w:r>
      <w:r w:rsidRPr="006A62D4">
        <w:rPr>
          <w:sz w:val="20"/>
          <w:lang w:val="ro-RO"/>
        </w:rPr>
        <w:t xml:space="preserve">, vol. I…, p. 10. </w:t>
      </w:r>
    </w:p>
  </w:footnote>
  <w:footnote w:id="2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2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p. 11.</w:t>
      </w:r>
    </w:p>
  </w:footnote>
  <w:footnote w:id="2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13.</w:t>
      </w:r>
    </w:p>
  </w:footnote>
  <w:footnote w:id="3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20.</w:t>
      </w:r>
    </w:p>
  </w:footnote>
  <w:footnote w:id="3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24.</w:t>
      </w:r>
    </w:p>
  </w:footnote>
  <w:footnote w:id="3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37.</w:t>
      </w:r>
    </w:p>
  </w:footnote>
  <w:footnote w:id="3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TDO</w:t>
      </w:r>
      <w:r w:rsidRPr="006A62D4">
        <w:rPr>
          <w:sz w:val="20"/>
          <w:lang w:val="ro-RO"/>
        </w:rPr>
        <w:t>, vol. II..., p. 41.</w:t>
      </w:r>
    </w:p>
  </w:footnote>
  <w:footnote w:id="3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TDO,</w:t>
      </w:r>
      <w:r w:rsidRPr="006A62D4">
        <w:rPr>
          <w:sz w:val="20"/>
          <w:lang w:val="ro-RO"/>
        </w:rPr>
        <w:t xml:space="preserve"> vol. I..., pp. 241, 49, 242.</w:t>
      </w:r>
    </w:p>
  </w:footnote>
  <w:footnote w:id="3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229.</w:t>
      </w:r>
    </w:p>
  </w:footnote>
  <w:footnote w:id="3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37">
    <w:p w:rsidR="004D40C5" w:rsidRPr="006A62D4" w:rsidRDefault="004D40C5" w:rsidP="004D40C5">
      <w:pPr>
        <w:pStyle w:val="FootnoteText"/>
        <w:ind w:left="-567" w:right="-709"/>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Sf. Dionisie Areopagitul, </w:t>
      </w:r>
      <w:r>
        <w:rPr>
          <w:sz w:val="20"/>
          <w:lang w:val="ro-RO"/>
        </w:rPr>
        <w:t>„</w:t>
      </w:r>
      <w:r w:rsidRPr="00105B2C">
        <w:rPr>
          <w:sz w:val="20"/>
          <w:lang w:val="ro-RO"/>
        </w:rPr>
        <w:t>Despre Teologia mistică</w:t>
      </w:r>
      <w:r>
        <w:rPr>
          <w:sz w:val="20"/>
          <w:lang w:val="ro-RO"/>
        </w:rPr>
        <w:t>”</w:t>
      </w:r>
      <w:r w:rsidRPr="00105B2C">
        <w:rPr>
          <w:sz w:val="20"/>
          <w:lang w:val="ro-RO"/>
        </w:rPr>
        <w:t>,</w:t>
      </w:r>
      <w:r w:rsidRPr="006A62D4">
        <w:rPr>
          <w:sz w:val="20"/>
          <w:lang w:val="ro-RO"/>
        </w:rPr>
        <w:t xml:space="preserve"> </w:t>
      </w:r>
      <w:r w:rsidRPr="006A62D4">
        <w:rPr>
          <w:i/>
          <w:sz w:val="20"/>
          <w:lang w:val="ro-RO"/>
        </w:rPr>
        <w:t xml:space="preserve">P.G. </w:t>
      </w:r>
      <w:r w:rsidRPr="006A62D4">
        <w:rPr>
          <w:sz w:val="20"/>
          <w:lang w:val="ro-RO"/>
        </w:rPr>
        <w:t xml:space="preserve">3 1025, t.r., introducere şi note Pr. Dumitru Stăniloae, în: Sf. Dionisie Areopagitul, </w:t>
      </w:r>
      <w:r w:rsidRPr="006A62D4">
        <w:rPr>
          <w:i/>
          <w:sz w:val="20"/>
          <w:lang w:val="ro-RO"/>
        </w:rPr>
        <w:t>Opere complete,</w:t>
      </w:r>
      <w:r w:rsidRPr="006A62D4">
        <w:rPr>
          <w:sz w:val="20"/>
          <w:lang w:val="ro-RO"/>
        </w:rPr>
        <w:t xml:space="preserve"> Ed. Paideia, Bucureşti, 1996, p. 248. </w:t>
      </w:r>
    </w:p>
  </w:footnote>
  <w:footnote w:id="3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TDO,</w:t>
      </w:r>
      <w:r w:rsidRPr="006A62D4">
        <w:rPr>
          <w:sz w:val="20"/>
          <w:lang w:val="ro-RO"/>
        </w:rPr>
        <w:t xml:space="preserve"> vol. I..., pp. 113-114.</w:t>
      </w:r>
    </w:p>
  </w:footnote>
  <w:footnote w:id="3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114</w:t>
      </w:r>
    </w:p>
  </w:footnote>
  <w:footnote w:id="4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115.</w:t>
      </w:r>
    </w:p>
  </w:footnote>
  <w:footnote w:id="4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118.</w:t>
      </w:r>
    </w:p>
  </w:footnote>
  <w:footnote w:id="4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123-125.</w:t>
      </w:r>
    </w:p>
  </w:footnote>
  <w:footnote w:id="4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131; Părintele se referă la: Le Guillou,</w:t>
      </w:r>
      <w:r w:rsidRPr="006A62D4">
        <w:rPr>
          <w:i/>
          <w:sz w:val="20"/>
          <w:lang w:val="ro-RO"/>
        </w:rPr>
        <w:t xml:space="preserve"> </w:t>
      </w:r>
      <w:r w:rsidRPr="006A62D4">
        <w:rPr>
          <w:sz w:val="20"/>
          <w:lang w:val="ro-RO"/>
        </w:rPr>
        <w:t xml:space="preserve">‹‹Reflexions sur la Theologie trinitaire a propos de quelques livres anciens et recents››, în rev. </w:t>
      </w:r>
      <w:r w:rsidRPr="006A62D4">
        <w:rPr>
          <w:i/>
          <w:sz w:val="20"/>
          <w:lang w:val="ro-RO"/>
        </w:rPr>
        <w:t>Istina</w:t>
      </w:r>
      <w:r w:rsidRPr="006A62D4">
        <w:rPr>
          <w:sz w:val="20"/>
          <w:lang w:val="ro-RO"/>
        </w:rPr>
        <w:t>, nr. 3-4, (1972), p. 460.</w:t>
      </w:r>
    </w:p>
  </w:footnote>
  <w:footnote w:id="4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Emil </w:t>
      </w:r>
      <w:r w:rsidRPr="006A62D4">
        <w:rPr>
          <w:sz w:val="20"/>
          <w:lang w:val="ro-RO"/>
        </w:rPr>
        <w:t>Bartoş,</w:t>
      </w:r>
      <w:r w:rsidRPr="006A62D4">
        <w:rPr>
          <w:i/>
          <w:sz w:val="20"/>
          <w:lang w:val="ro-RO"/>
        </w:rPr>
        <w:t xml:space="preserve"> op. cit</w:t>
      </w:r>
      <w:r w:rsidRPr="006A62D4">
        <w:rPr>
          <w:sz w:val="20"/>
          <w:lang w:val="ro-RO"/>
        </w:rPr>
        <w:t>., p. 30.</w:t>
      </w:r>
    </w:p>
  </w:footnote>
  <w:footnote w:id="4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Prof. Dr. Dumitru Stăniloae,</w:t>
      </w:r>
      <w:r w:rsidRPr="006A62D4">
        <w:rPr>
          <w:i/>
          <w:sz w:val="20"/>
          <w:lang w:val="ro-RO"/>
        </w:rPr>
        <w:t xml:space="preserve"> TDO</w:t>
      </w:r>
      <w:r w:rsidRPr="006A62D4">
        <w:rPr>
          <w:sz w:val="20"/>
          <w:lang w:val="ro-RO"/>
        </w:rPr>
        <w:t>, vol. I…</w:t>
      </w:r>
      <w:r w:rsidRPr="006A62D4">
        <w:rPr>
          <w:i/>
          <w:sz w:val="20"/>
          <w:lang w:val="ro-RO"/>
        </w:rPr>
        <w:t>,</w:t>
      </w:r>
      <w:r w:rsidRPr="006A62D4">
        <w:rPr>
          <w:sz w:val="20"/>
          <w:lang w:val="ro-RO"/>
        </w:rPr>
        <w:t xml:space="preserve"> p. 114.</w:t>
      </w:r>
    </w:p>
  </w:footnote>
  <w:footnote w:id="4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115.</w:t>
      </w:r>
    </w:p>
  </w:footnote>
  <w:footnote w:id="4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119-120.</w:t>
      </w:r>
    </w:p>
  </w:footnote>
  <w:footnote w:id="4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148.</w:t>
      </w:r>
    </w:p>
  </w:footnote>
  <w:footnote w:id="4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Pr>
          <w:sz w:val="20"/>
        </w:rPr>
        <w:t>„</w:t>
      </w:r>
      <w:r w:rsidRPr="00105B2C">
        <w:rPr>
          <w:sz w:val="20"/>
          <w:lang w:val="ro-RO"/>
        </w:rPr>
        <w:t>Oratio</w:t>
      </w:r>
      <w:r>
        <w:rPr>
          <w:sz w:val="20"/>
          <w:lang w:val="ro-RO"/>
        </w:rPr>
        <w:t>”</w:t>
      </w:r>
      <w:r w:rsidRPr="00105B2C">
        <w:rPr>
          <w:sz w:val="20"/>
          <w:lang w:val="ro-RO"/>
        </w:rPr>
        <w:t xml:space="preserve"> XXXVIII,</w:t>
      </w:r>
      <w:r w:rsidRPr="006A62D4">
        <w:rPr>
          <w:i/>
          <w:sz w:val="20"/>
          <w:lang w:val="ro-RO"/>
        </w:rPr>
        <w:t xml:space="preserve"> </w:t>
      </w:r>
      <w:r>
        <w:rPr>
          <w:sz w:val="20"/>
          <w:lang w:val="ro-RO"/>
        </w:rPr>
        <w:t>i</w:t>
      </w:r>
      <w:r w:rsidRPr="00105B2C">
        <w:rPr>
          <w:sz w:val="20"/>
          <w:lang w:val="ro-RO"/>
        </w:rPr>
        <w:t xml:space="preserve">n </w:t>
      </w:r>
      <w:r w:rsidRPr="00105B2C">
        <w:rPr>
          <w:i/>
          <w:sz w:val="20"/>
          <w:lang w:val="ro-RO"/>
        </w:rPr>
        <w:t>Theophania</w:t>
      </w:r>
      <w:r w:rsidRPr="006A62D4">
        <w:rPr>
          <w:i/>
          <w:sz w:val="20"/>
          <w:lang w:val="ro-RO"/>
        </w:rPr>
        <w:t>,</w:t>
      </w:r>
      <w:r w:rsidRPr="006A62D4">
        <w:rPr>
          <w:sz w:val="20"/>
          <w:lang w:val="ro-RO"/>
        </w:rPr>
        <w:t xml:space="preserve"> </w:t>
      </w:r>
      <w:r w:rsidRPr="006A62D4">
        <w:rPr>
          <w:i/>
          <w:sz w:val="20"/>
          <w:lang w:val="ro-RO"/>
        </w:rPr>
        <w:t>P.G</w:t>
      </w:r>
      <w:r w:rsidRPr="006A62D4">
        <w:rPr>
          <w:sz w:val="20"/>
          <w:lang w:val="ro-RO"/>
        </w:rPr>
        <w:t xml:space="preserve">. 36, col. 317, la Pr. Prof. Dr. Dumitru Stăniloae, </w:t>
      </w:r>
      <w:r w:rsidRPr="006A62D4">
        <w:rPr>
          <w:i/>
          <w:sz w:val="20"/>
          <w:lang w:val="ro-RO"/>
        </w:rPr>
        <w:t xml:space="preserve">TDO, </w:t>
      </w:r>
      <w:r w:rsidRPr="006A62D4">
        <w:rPr>
          <w:sz w:val="20"/>
          <w:lang w:val="ro-RO"/>
        </w:rPr>
        <w:t xml:space="preserve">vol. </w:t>
      </w:r>
      <w:r w:rsidRPr="006A62D4">
        <w:rPr>
          <w:sz w:val="20"/>
          <w:lang w:val="ro-RO"/>
        </w:rPr>
        <w:t>I…, p. 120.</w:t>
      </w:r>
    </w:p>
  </w:footnote>
  <w:footnote w:id="5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p. 119.</w:t>
      </w:r>
    </w:p>
  </w:footnote>
  <w:footnote w:id="5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123</w:t>
      </w:r>
    </w:p>
  </w:footnote>
  <w:footnote w:id="5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Ioannis </w:t>
      </w:r>
      <w:r w:rsidRPr="006A62D4">
        <w:rPr>
          <w:sz w:val="20"/>
          <w:lang w:val="ro-RO"/>
        </w:rPr>
        <w:t xml:space="preserve">Zizioulas, </w:t>
      </w:r>
      <w:r w:rsidRPr="006A62D4">
        <w:rPr>
          <w:i/>
          <w:sz w:val="20"/>
          <w:lang w:val="ro-RO"/>
        </w:rPr>
        <w:t>Fiinţa ecclesială,</w:t>
      </w:r>
      <w:r w:rsidRPr="006A62D4">
        <w:rPr>
          <w:sz w:val="20"/>
          <w:lang w:val="ro-RO"/>
        </w:rPr>
        <w:t xml:space="preserve"> Ed. Bizantină, Bucureşti, 1996 în spec. cap. I:</w:t>
      </w:r>
      <w:r w:rsidRPr="006A62D4">
        <w:rPr>
          <w:i/>
          <w:sz w:val="20"/>
          <w:lang w:val="ro-RO"/>
        </w:rPr>
        <w:t xml:space="preserve"> </w:t>
      </w:r>
      <w:r w:rsidRPr="00105B2C">
        <w:rPr>
          <w:sz w:val="20"/>
          <w:lang w:val="ro-RO"/>
        </w:rPr>
        <w:t>„</w:t>
      </w:r>
      <w:r w:rsidRPr="006A62D4">
        <w:rPr>
          <w:sz w:val="20"/>
          <w:lang w:val="ro-RO"/>
        </w:rPr>
        <w:t>De la personaj la persoană”</w:t>
      </w:r>
      <w:r w:rsidRPr="006A62D4">
        <w:rPr>
          <w:i/>
          <w:sz w:val="20"/>
          <w:lang w:val="ro-RO"/>
        </w:rPr>
        <w:t>,</w:t>
      </w:r>
      <w:r w:rsidRPr="006A62D4">
        <w:rPr>
          <w:sz w:val="20"/>
          <w:lang w:val="ro-RO"/>
        </w:rPr>
        <w:t xml:space="preserve"> pp. 21-62.</w:t>
      </w:r>
    </w:p>
  </w:footnote>
  <w:footnote w:id="5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op. cit.,</w:t>
      </w:r>
      <w:r w:rsidRPr="006A62D4">
        <w:rPr>
          <w:sz w:val="20"/>
          <w:lang w:val="ro-RO"/>
        </w:rPr>
        <w:t xml:space="preserve"> p. 123.</w:t>
      </w:r>
    </w:p>
  </w:footnote>
  <w:footnote w:id="5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H. </w:t>
      </w:r>
      <w:r w:rsidRPr="006A62D4">
        <w:rPr>
          <w:sz w:val="20"/>
          <w:lang w:val="ro-RO"/>
        </w:rPr>
        <w:t xml:space="preserve">Denzinger, </w:t>
      </w:r>
      <w:r w:rsidRPr="006A62D4">
        <w:rPr>
          <w:i/>
          <w:sz w:val="20"/>
          <w:lang w:val="ro-RO"/>
        </w:rPr>
        <w:t>Enchiridion Symbolorum</w:t>
      </w:r>
      <w:r w:rsidRPr="006A62D4">
        <w:rPr>
          <w:sz w:val="20"/>
          <w:lang w:val="ro-RO"/>
        </w:rPr>
        <w:t xml:space="preserve"> (Freiburg: Herder, 1957 [31st ed.], 432D806) [Trad.germ.]. J. Hochstaffl</w:t>
      </w:r>
      <w:r w:rsidRPr="006A62D4">
        <w:rPr>
          <w:i/>
          <w:sz w:val="20"/>
          <w:lang w:val="ro-RO"/>
        </w:rPr>
        <w:t>, Negative Theologie</w:t>
      </w:r>
      <w:r w:rsidRPr="006A62D4">
        <w:rPr>
          <w:sz w:val="20"/>
          <w:lang w:val="ro-RO"/>
        </w:rPr>
        <w:t xml:space="preserve"> (Munich: Kosel, 1976, p. 154), cf. Ch. Yannaras, </w:t>
      </w:r>
      <w:r w:rsidRPr="006A62D4">
        <w:rPr>
          <w:i/>
          <w:sz w:val="20"/>
          <w:lang w:val="ro-RO"/>
        </w:rPr>
        <w:t>Person und Eros</w:t>
      </w:r>
      <w:r w:rsidRPr="006A62D4">
        <w:rPr>
          <w:sz w:val="20"/>
          <w:lang w:val="ro-RO"/>
        </w:rPr>
        <w:t xml:space="preserve"> (Gottingen: Vandenhoeck/ Ruprecht, 1982), 205 f; H. Vorgrimmler</w:t>
      </w:r>
      <w:r w:rsidRPr="006A62D4">
        <w:rPr>
          <w:i/>
          <w:sz w:val="20"/>
          <w:lang w:val="ro-RO"/>
        </w:rPr>
        <w:t>, Negative Theologie,</w:t>
      </w:r>
      <w:r w:rsidRPr="006A62D4">
        <w:rPr>
          <w:sz w:val="20"/>
          <w:lang w:val="ro-RO"/>
        </w:rPr>
        <w:t xml:space="preserve"> LThK7(1967) 864, la Marios P. Begzos, „Apophaticism in the Theology of the Eastern Church: The Modern Critical Function of a Traditional Theory”,</w:t>
      </w:r>
      <w:r w:rsidRPr="006A62D4">
        <w:rPr>
          <w:i/>
          <w:sz w:val="20"/>
          <w:lang w:val="ro-RO"/>
        </w:rPr>
        <w:t xml:space="preserve"> </w:t>
      </w:r>
      <w:r w:rsidRPr="006A62D4">
        <w:rPr>
          <w:sz w:val="20"/>
          <w:lang w:val="ro-RO"/>
        </w:rPr>
        <w:t xml:space="preserve">în: </w:t>
      </w:r>
      <w:r w:rsidRPr="006F0620">
        <w:rPr>
          <w:i/>
          <w:sz w:val="20"/>
          <w:lang w:val="ro-RO"/>
        </w:rPr>
        <w:t>The Greek Orthodox Theological Review</w:t>
      </w:r>
      <w:r w:rsidRPr="006A62D4">
        <w:rPr>
          <w:sz w:val="20"/>
          <w:lang w:val="ro-RO"/>
        </w:rPr>
        <w:t>, vol. 41, nr. 4, 1996, p. 328.</w:t>
      </w:r>
    </w:p>
  </w:footnote>
  <w:footnote w:id="5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Christos </w:t>
      </w:r>
      <w:r w:rsidRPr="006A62D4">
        <w:rPr>
          <w:sz w:val="20"/>
          <w:lang w:val="ro-RO"/>
        </w:rPr>
        <w:t xml:space="preserve">Yannaras, </w:t>
      </w:r>
      <w:r w:rsidRPr="006A62D4">
        <w:rPr>
          <w:i/>
          <w:sz w:val="20"/>
          <w:lang w:val="ro-RO"/>
        </w:rPr>
        <w:t>Heidegger şi Areopagitul,</w:t>
      </w:r>
      <w:r w:rsidRPr="006A62D4">
        <w:rPr>
          <w:sz w:val="20"/>
          <w:lang w:val="ro-RO"/>
        </w:rPr>
        <w:t xml:space="preserve"> trad. N.Ş. Tanaşoca, Ed. Anastasia, București,1996, p. 66.</w:t>
      </w:r>
    </w:p>
  </w:footnote>
  <w:footnote w:id="5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Toma </w:t>
      </w:r>
      <w:r w:rsidRPr="006A62D4">
        <w:rPr>
          <w:sz w:val="20"/>
          <w:lang w:val="ro-RO"/>
        </w:rPr>
        <w:t>de Aquino</w:t>
      </w:r>
      <w:r w:rsidRPr="006A62D4">
        <w:rPr>
          <w:i/>
          <w:sz w:val="20"/>
          <w:lang w:val="ro-RO"/>
        </w:rPr>
        <w:t xml:space="preserve">, </w:t>
      </w:r>
      <w:r w:rsidRPr="006C199E">
        <w:rPr>
          <w:sz w:val="20"/>
          <w:lang w:val="ro-RO"/>
        </w:rPr>
        <w:t>„Quaestiones disputatae</w:t>
      </w:r>
      <w:r>
        <w:rPr>
          <w:sz w:val="20"/>
          <w:lang w:val="ro-RO"/>
        </w:rPr>
        <w:t>”</w:t>
      </w:r>
      <w:r w:rsidRPr="006A62D4">
        <w:rPr>
          <w:i/>
          <w:sz w:val="20"/>
          <w:lang w:val="ro-RO"/>
        </w:rPr>
        <w:t xml:space="preserve"> </w:t>
      </w:r>
      <w:r w:rsidRPr="006A62D4">
        <w:rPr>
          <w:sz w:val="20"/>
          <w:lang w:val="ro-RO"/>
        </w:rPr>
        <w:t>7, 5, 14.</w:t>
      </w:r>
    </w:p>
  </w:footnote>
  <w:footnote w:id="5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Cf. </w:t>
      </w:r>
      <w:r w:rsidRPr="006A62D4">
        <w:rPr>
          <w:sz w:val="20"/>
          <w:lang w:val="ro-RO"/>
        </w:rPr>
        <w:t xml:space="preserve">J. Hochstaffl, 154 f.; H. orgrimmler, cols. 864 f., and A.Gouhier, </w:t>
      </w:r>
      <w:r w:rsidRPr="006A62D4">
        <w:rPr>
          <w:i/>
          <w:sz w:val="20"/>
          <w:lang w:val="ro-RO"/>
        </w:rPr>
        <w:t>Neant,</w:t>
      </w:r>
      <w:r w:rsidRPr="006A62D4">
        <w:rPr>
          <w:sz w:val="20"/>
          <w:lang w:val="ro-RO"/>
        </w:rPr>
        <w:t xml:space="preserve">în D. Sp. 11 (1981), cols. 64-80. Despre </w:t>
      </w:r>
      <w:r w:rsidRPr="006A62D4">
        <w:rPr>
          <w:i/>
          <w:sz w:val="20"/>
          <w:lang w:val="ro-RO"/>
        </w:rPr>
        <w:t>theologia negativă</w:t>
      </w:r>
      <w:r w:rsidRPr="006A62D4">
        <w:rPr>
          <w:sz w:val="20"/>
          <w:lang w:val="ro-RO"/>
        </w:rPr>
        <w:t xml:space="preserve"> la Augustin, Scotus Eriugena, Meister Eckhart şi Nicolae de Cuza, v. W. Weischedel, </w:t>
      </w:r>
      <w:r w:rsidRPr="006A62D4">
        <w:rPr>
          <w:i/>
          <w:sz w:val="20"/>
          <w:lang w:val="ro-RO"/>
        </w:rPr>
        <w:t>Der Gott der Philosophen,</w:t>
      </w:r>
      <w:r w:rsidRPr="006A62D4">
        <w:rPr>
          <w:sz w:val="20"/>
          <w:lang w:val="ro-RO"/>
        </w:rPr>
        <w:t xml:space="preserve"> vol. 1 (Munich, DTV, 1979, [1971]). Teologia evanghelică abordează doar tangenţial teologia negativă. Cu excepţia lui E. Jungel, </w:t>
      </w:r>
      <w:r w:rsidRPr="006A62D4">
        <w:rPr>
          <w:i/>
          <w:sz w:val="20"/>
          <w:lang w:val="ro-RO"/>
        </w:rPr>
        <w:t>Gott als Gehaeimnis der Welt,</w:t>
      </w:r>
      <w:r w:rsidRPr="006A62D4">
        <w:rPr>
          <w:sz w:val="20"/>
          <w:lang w:val="ro-RO"/>
        </w:rPr>
        <w:t xml:space="preserve"> Tubingen; Mohr/Siebeck, 1978, în spec. pp. 316-357, şi </w:t>
      </w:r>
      <w:r w:rsidRPr="006A62D4">
        <w:rPr>
          <w:i/>
          <w:sz w:val="20"/>
          <w:lang w:val="ro-RO"/>
        </w:rPr>
        <w:t xml:space="preserve">Zur Freiheit eines Christenmenschen, </w:t>
      </w:r>
      <w:r w:rsidRPr="006A62D4">
        <w:rPr>
          <w:sz w:val="20"/>
          <w:lang w:val="ro-RO"/>
        </w:rPr>
        <w:t>Munich; Kaiser, 1978, pp. 28-53, este greu să găseşti studii despre acest subiect la Marios P. Begzos,</w:t>
      </w:r>
      <w:r w:rsidRPr="006A62D4">
        <w:rPr>
          <w:i/>
          <w:sz w:val="20"/>
          <w:lang w:val="ro-RO"/>
        </w:rPr>
        <w:t xml:space="preserve"> op. cit</w:t>
      </w:r>
      <w:r w:rsidRPr="006A62D4">
        <w:rPr>
          <w:sz w:val="20"/>
          <w:lang w:val="ro-RO"/>
        </w:rPr>
        <w:t>., p. 328.</w:t>
      </w:r>
    </w:p>
  </w:footnote>
  <w:footnote w:id="5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Apofatism, </w:t>
      </w:r>
      <w:r w:rsidRPr="006A62D4">
        <w:rPr>
          <w:sz w:val="20"/>
          <w:lang w:val="ro-RO"/>
        </w:rPr>
        <w:t xml:space="preserve">de la grecescul </w:t>
      </w:r>
      <w:r w:rsidRPr="006A62D4">
        <w:rPr>
          <w:i/>
          <w:sz w:val="20"/>
          <w:lang w:val="ro-RO"/>
        </w:rPr>
        <w:t>apo phasko</w:t>
      </w:r>
      <w:r w:rsidRPr="006A62D4">
        <w:rPr>
          <w:sz w:val="20"/>
          <w:lang w:val="ro-RO"/>
        </w:rPr>
        <w:t>, neg. Noţiunea opusă este</w:t>
      </w:r>
      <w:r w:rsidRPr="006A62D4">
        <w:rPr>
          <w:i/>
          <w:sz w:val="20"/>
          <w:lang w:val="ro-RO"/>
        </w:rPr>
        <w:t xml:space="preserve"> kata phasco, </w:t>
      </w:r>
      <w:r w:rsidRPr="006A62D4">
        <w:rPr>
          <w:sz w:val="20"/>
          <w:lang w:val="ro-RO"/>
        </w:rPr>
        <w:t xml:space="preserve">afirm. Apofaza lui „a fi alb” este „a nu fi alb” (Aristotel, </w:t>
      </w:r>
      <w:r w:rsidRPr="006A62D4">
        <w:rPr>
          <w:i/>
          <w:sz w:val="20"/>
          <w:lang w:val="ro-RO"/>
        </w:rPr>
        <w:t>Analytica prima</w:t>
      </w:r>
      <w:r w:rsidRPr="006A62D4">
        <w:rPr>
          <w:sz w:val="20"/>
          <w:lang w:val="ro-RO"/>
        </w:rPr>
        <w:t xml:space="preserve">, A46, 51b9). Catafază înseamnă a spune ce există în ceva, de pildă că ceva este frumos, iar apofază înseamnă a spune ce nu există în ceva, de pildă că ceva nu este frumos (Sf. Ioan Damaschinul, </w:t>
      </w:r>
      <w:r w:rsidRPr="006A62D4">
        <w:rPr>
          <w:i/>
          <w:sz w:val="20"/>
          <w:lang w:val="ro-RO"/>
        </w:rPr>
        <w:t xml:space="preserve">Dialektika </w:t>
      </w:r>
      <w:r w:rsidRPr="006A62D4">
        <w:rPr>
          <w:sz w:val="20"/>
          <w:lang w:val="ro-RO"/>
        </w:rPr>
        <w:t xml:space="preserve">58, Ed. Bonifatius Kotter, Berlin, De Gruyter, 1969, p. 125). Ca o categorie a cunoaşterii teoretice în domeniul filosofiei, apofaza desemnează negaţia existentului sau a fiinţării, dar şi definirea privativă a particularităţilor unei esenţe sau substanţe existente. Astfel, Aristotel distinge negaţia apofatică de apofaza privativă (v. </w:t>
      </w:r>
      <w:r w:rsidRPr="006A62D4">
        <w:rPr>
          <w:i/>
          <w:sz w:val="20"/>
          <w:lang w:val="ro-RO"/>
        </w:rPr>
        <w:t xml:space="preserve">Metafizica, </w:t>
      </w:r>
      <w:r w:rsidRPr="006A62D4">
        <w:rPr>
          <w:sz w:val="20"/>
          <w:lang w:val="ro-RO"/>
        </w:rPr>
        <w:t xml:space="preserve">1004a,10-16) pentru a marca posibilitatea determinării unei esenţe sau naturi prin excluderea subordonării ei faţă de alte genuri. Cu acest al doilea sens, de apofază privativă, </w:t>
      </w:r>
      <w:r w:rsidRPr="006A62D4">
        <w:rPr>
          <w:i/>
          <w:sz w:val="20"/>
          <w:lang w:val="ro-RO"/>
        </w:rPr>
        <w:t xml:space="preserve">apofatismul </w:t>
      </w:r>
      <w:r w:rsidRPr="006A62D4">
        <w:rPr>
          <w:sz w:val="20"/>
          <w:lang w:val="ro-RO"/>
        </w:rPr>
        <w:t xml:space="preserve">este folosit ca atitudine sau cale de cunoaştere teoretică în domeniul filosofiei. În cazul tradiţiei filosofice greceşti, de la Heraclit până la Sfântul Grigorie Palamas, caracterizăm drept apofatism refuzul de a epuiza adevărul prin formularea lui, aşadar interpretarea simbolico-iconologică a formulărilor adevărului, adoptarea dinamicii </w:t>
      </w:r>
      <w:r w:rsidRPr="006A62D4">
        <w:rPr>
          <w:i/>
          <w:sz w:val="20"/>
          <w:lang w:val="ro-RO"/>
        </w:rPr>
        <w:t xml:space="preserve">relaţiilor </w:t>
      </w:r>
      <w:r w:rsidRPr="006A62D4">
        <w:rPr>
          <w:sz w:val="20"/>
          <w:lang w:val="ro-RO"/>
        </w:rPr>
        <w:t xml:space="preserve">(a heracliticei „comuniuni”) drept criteriu al adeveririi cunoştinţei, la Ch. Yannaras, </w:t>
      </w:r>
      <w:r w:rsidRPr="006A62D4">
        <w:rPr>
          <w:i/>
          <w:sz w:val="20"/>
          <w:lang w:val="ro-RO"/>
        </w:rPr>
        <w:t>op. cit</w:t>
      </w:r>
      <w:r w:rsidRPr="006A62D4">
        <w:rPr>
          <w:sz w:val="20"/>
          <w:lang w:val="ro-RO"/>
        </w:rPr>
        <w:t>., pp. 9-10.</w:t>
      </w:r>
    </w:p>
  </w:footnote>
  <w:footnote w:id="5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M.P. </w:t>
      </w:r>
      <w:r w:rsidRPr="006A62D4">
        <w:rPr>
          <w:sz w:val="20"/>
          <w:lang w:val="ro-RO"/>
        </w:rPr>
        <w:t xml:space="preserve">Begzos, </w:t>
      </w:r>
      <w:r w:rsidRPr="006A62D4">
        <w:rPr>
          <w:i/>
          <w:sz w:val="20"/>
          <w:lang w:val="ro-RO"/>
        </w:rPr>
        <w:t xml:space="preserve">op. cit., </w:t>
      </w:r>
      <w:r w:rsidRPr="006A62D4">
        <w:rPr>
          <w:sz w:val="20"/>
          <w:lang w:val="ro-RO"/>
        </w:rPr>
        <w:t>pp. 328-329.</w:t>
      </w:r>
    </w:p>
  </w:footnote>
  <w:footnote w:id="6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Vl. </w:t>
      </w:r>
      <w:r w:rsidRPr="006A62D4">
        <w:rPr>
          <w:sz w:val="20"/>
          <w:lang w:val="ro-RO"/>
        </w:rPr>
        <w:t>Lossky,</w:t>
      </w:r>
      <w:r w:rsidRPr="006A62D4">
        <w:rPr>
          <w:i/>
          <w:sz w:val="20"/>
          <w:lang w:val="ro-RO"/>
        </w:rPr>
        <w:t xml:space="preserve"> După chipul şi asemănarea lui Dumnezeu,</w:t>
      </w:r>
      <w:r w:rsidRPr="006A62D4">
        <w:rPr>
          <w:sz w:val="20"/>
          <w:lang w:val="ro-RO"/>
        </w:rPr>
        <w:t xml:space="preserve"> Ed. Humanitas, București, 1998, p. 5.</w:t>
      </w:r>
    </w:p>
  </w:footnote>
  <w:footnote w:id="6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Dionisie Areopagitul, </w:t>
      </w:r>
      <w:r>
        <w:rPr>
          <w:sz w:val="20"/>
          <w:lang w:val="ro-RO"/>
        </w:rPr>
        <w:t>„</w:t>
      </w:r>
      <w:r w:rsidRPr="005357A7">
        <w:rPr>
          <w:sz w:val="20"/>
          <w:lang w:val="ro-RO"/>
        </w:rPr>
        <w:t>Despre Teologia mistică</w:t>
      </w:r>
      <w:r>
        <w:rPr>
          <w:sz w:val="20"/>
          <w:lang w:val="ro-RO"/>
        </w:rPr>
        <w:t>”</w:t>
      </w:r>
      <w:r w:rsidRPr="005357A7">
        <w:rPr>
          <w:sz w:val="20"/>
          <w:lang w:val="ro-RO"/>
        </w:rPr>
        <w:t>,</w:t>
      </w:r>
      <w:r w:rsidRPr="006A62D4">
        <w:rPr>
          <w:sz w:val="20"/>
          <w:lang w:val="ro-RO"/>
        </w:rPr>
        <w:t xml:space="preserve"> 5, </w:t>
      </w:r>
      <w:r w:rsidRPr="006A62D4">
        <w:rPr>
          <w:i/>
          <w:sz w:val="20"/>
          <w:lang w:val="ro-RO"/>
        </w:rPr>
        <w:t>P.G.</w:t>
      </w:r>
      <w:r w:rsidRPr="006A62D4">
        <w:rPr>
          <w:sz w:val="20"/>
          <w:lang w:val="ro-RO"/>
        </w:rPr>
        <w:t>3, 1048B..., pp. 249-250.</w:t>
      </w:r>
    </w:p>
  </w:footnote>
  <w:footnote w:id="62">
    <w:p w:rsidR="004D40C5" w:rsidRPr="006A62D4" w:rsidRDefault="004D40C5" w:rsidP="004D40C5">
      <w:pPr>
        <w:ind w:left="-567" w:right="-709"/>
        <w:jc w:val="both"/>
        <w:rPr>
          <w:rFonts w:cs="Times New Roman"/>
          <w:sz w:val="20"/>
          <w:szCs w:val="20"/>
          <w:lang w:val="ro-RO"/>
        </w:rPr>
      </w:pPr>
      <w:r w:rsidRPr="006A62D4">
        <w:rPr>
          <w:rStyle w:val="FootnoteReference"/>
          <w:rFonts w:cs="Times New Roman"/>
          <w:sz w:val="20"/>
          <w:szCs w:val="20"/>
        </w:rPr>
        <w:footnoteRef/>
      </w:r>
      <w:r w:rsidRPr="006A62D4">
        <w:rPr>
          <w:rFonts w:cs="Times New Roman"/>
          <w:sz w:val="20"/>
          <w:szCs w:val="20"/>
        </w:rPr>
        <w:t xml:space="preserve"> </w:t>
      </w:r>
      <w:r w:rsidRPr="006A62D4">
        <w:rPr>
          <w:rFonts w:cs="Times New Roman"/>
          <w:sz w:val="20"/>
          <w:szCs w:val="20"/>
          <w:lang w:val="ro-RO"/>
        </w:rPr>
        <w:t xml:space="preserve">Folosindu-se: </w:t>
      </w:r>
    </w:p>
    <w:p w:rsidR="004D40C5" w:rsidRPr="006A62D4" w:rsidRDefault="004D40C5" w:rsidP="004D40C5">
      <w:pPr>
        <w:ind w:left="-567" w:right="-709" w:firstLine="567"/>
        <w:jc w:val="both"/>
        <w:rPr>
          <w:rFonts w:cs="Times New Roman"/>
          <w:sz w:val="20"/>
          <w:szCs w:val="20"/>
          <w:lang w:val="ro-RO"/>
        </w:rPr>
      </w:pPr>
      <w:r w:rsidRPr="006A62D4">
        <w:rPr>
          <w:rFonts w:cs="Times New Roman"/>
          <w:sz w:val="20"/>
          <w:szCs w:val="20"/>
          <w:lang w:val="ro-RO"/>
        </w:rPr>
        <w:t xml:space="preserve">a) termeni cu prefixul </w:t>
      </w:r>
      <w:r w:rsidRPr="006A62D4">
        <w:rPr>
          <w:rFonts w:cs="Times New Roman"/>
          <w:i/>
          <w:sz w:val="20"/>
          <w:szCs w:val="20"/>
          <w:lang w:val="ro-RO"/>
        </w:rPr>
        <w:t>a-</w:t>
      </w:r>
      <w:r w:rsidRPr="006A62D4">
        <w:rPr>
          <w:rFonts w:cs="Times New Roman"/>
          <w:sz w:val="20"/>
          <w:szCs w:val="20"/>
          <w:lang w:val="ro-RO"/>
        </w:rPr>
        <w:t xml:space="preserve"> sau </w:t>
      </w:r>
      <w:r w:rsidRPr="006A62D4">
        <w:rPr>
          <w:rFonts w:cs="Times New Roman"/>
          <w:i/>
          <w:sz w:val="20"/>
          <w:szCs w:val="20"/>
          <w:lang w:val="ro-RO"/>
        </w:rPr>
        <w:t>an-</w:t>
      </w:r>
      <w:r w:rsidRPr="006A62D4">
        <w:rPr>
          <w:rFonts w:cs="Times New Roman"/>
          <w:sz w:val="20"/>
          <w:szCs w:val="20"/>
          <w:lang w:val="ro-RO"/>
        </w:rPr>
        <w:t xml:space="preserve"> pentru negarea directă;</w:t>
      </w:r>
    </w:p>
    <w:p w:rsidR="004D40C5" w:rsidRPr="006A62D4" w:rsidRDefault="004D40C5" w:rsidP="004D40C5">
      <w:pPr>
        <w:ind w:left="-567" w:right="-709" w:firstLine="567"/>
        <w:jc w:val="both"/>
        <w:rPr>
          <w:rFonts w:cs="Times New Roman"/>
          <w:sz w:val="20"/>
          <w:szCs w:val="20"/>
          <w:lang w:val="ro-RO"/>
        </w:rPr>
      </w:pPr>
      <w:r w:rsidRPr="006A62D4">
        <w:rPr>
          <w:rFonts w:cs="Times New Roman"/>
          <w:sz w:val="20"/>
          <w:szCs w:val="20"/>
          <w:lang w:val="ro-RO"/>
        </w:rPr>
        <w:t xml:space="preserve">b) gradul superlativ, în special cuvinte cu prefixul </w:t>
      </w:r>
      <w:r w:rsidRPr="006A62D4">
        <w:rPr>
          <w:rFonts w:cs="Times New Roman"/>
          <w:i/>
          <w:sz w:val="20"/>
          <w:szCs w:val="20"/>
          <w:lang w:val="ro-RO"/>
        </w:rPr>
        <w:t>hyper</w:t>
      </w:r>
      <w:r w:rsidRPr="006A62D4">
        <w:rPr>
          <w:rFonts w:cs="Times New Roman"/>
          <w:sz w:val="20"/>
          <w:szCs w:val="20"/>
          <w:lang w:val="ro-RO"/>
        </w:rPr>
        <w:t>- supra;</w:t>
      </w:r>
    </w:p>
    <w:p w:rsidR="004D40C5" w:rsidRPr="006A62D4" w:rsidRDefault="004D40C5" w:rsidP="004D40C5">
      <w:pPr>
        <w:ind w:left="-567" w:right="-709" w:firstLine="567"/>
        <w:jc w:val="both"/>
        <w:rPr>
          <w:rFonts w:cs="Times New Roman"/>
          <w:sz w:val="20"/>
          <w:szCs w:val="20"/>
          <w:lang w:val="ro-RO"/>
        </w:rPr>
      </w:pPr>
      <w:r w:rsidRPr="006A62D4">
        <w:rPr>
          <w:rFonts w:cs="Times New Roman"/>
          <w:sz w:val="20"/>
          <w:szCs w:val="20"/>
          <w:lang w:val="ro-RO"/>
        </w:rPr>
        <w:t xml:space="preserve">c) termeni atât cu prefixul privativ, cât şi la superlativ, de exemplu </w:t>
      </w:r>
      <w:r w:rsidRPr="006A62D4">
        <w:rPr>
          <w:rFonts w:cs="Times New Roman"/>
          <w:i/>
          <w:sz w:val="20"/>
          <w:szCs w:val="20"/>
          <w:lang w:val="ro-RO"/>
        </w:rPr>
        <w:t>hyperagnostos</w:t>
      </w:r>
      <w:r w:rsidRPr="006A62D4">
        <w:rPr>
          <w:rFonts w:cs="Times New Roman"/>
          <w:sz w:val="20"/>
          <w:szCs w:val="20"/>
          <w:lang w:val="ro-RO"/>
        </w:rPr>
        <w:t xml:space="preserve"> (supra-necunoscut), </w:t>
      </w:r>
      <w:r w:rsidRPr="006A62D4">
        <w:rPr>
          <w:rFonts w:cs="Times New Roman"/>
          <w:i/>
          <w:sz w:val="20"/>
          <w:szCs w:val="20"/>
          <w:lang w:val="ro-RO"/>
        </w:rPr>
        <w:t>hyperarretos</w:t>
      </w:r>
      <w:r w:rsidRPr="006A62D4">
        <w:rPr>
          <w:rFonts w:cs="Times New Roman"/>
          <w:sz w:val="20"/>
          <w:szCs w:val="20"/>
          <w:lang w:val="ro-RO"/>
        </w:rPr>
        <w:t xml:space="preserve"> (supra-inefabil);</w:t>
      </w:r>
    </w:p>
    <w:p w:rsidR="004D40C5" w:rsidRPr="006A62D4" w:rsidRDefault="004D40C5" w:rsidP="004D40C5">
      <w:pPr>
        <w:ind w:left="-567" w:right="-709" w:firstLine="567"/>
        <w:jc w:val="both"/>
        <w:rPr>
          <w:rFonts w:cs="Times New Roman"/>
          <w:sz w:val="20"/>
          <w:szCs w:val="20"/>
          <w:lang w:val="ro-RO"/>
        </w:rPr>
      </w:pPr>
      <w:r w:rsidRPr="006A62D4">
        <w:rPr>
          <w:rFonts w:cs="Times New Roman"/>
          <w:sz w:val="20"/>
          <w:szCs w:val="20"/>
          <w:lang w:val="ro-RO"/>
        </w:rPr>
        <w:t xml:space="preserve">d) oximoronul, de exemplu </w:t>
      </w:r>
      <w:r w:rsidRPr="006A62D4">
        <w:rPr>
          <w:rFonts w:cs="Times New Roman"/>
          <w:i/>
          <w:sz w:val="20"/>
          <w:szCs w:val="20"/>
          <w:lang w:val="ro-RO"/>
        </w:rPr>
        <w:t xml:space="preserve">lampros gnophos </w:t>
      </w:r>
      <w:r w:rsidRPr="006A62D4">
        <w:rPr>
          <w:rFonts w:cs="Times New Roman"/>
          <w:sz w:val="20"/>
          <w:szCs w:val="20"/>
          <w:lang w:val="ro-RO"/>
        </w:rPr>
        <w:t>(întuneric supra-luminos);</w:t>
      </w:r>
    </w:p>
    <w:p w:rsidR="004D40C5" w:rsidRPr="006A62D4" w:rsidRDefault="004D40C5" w:rsidP="004D40C5">
      <w:pPr>
        <w:pStyle w:val="FootnoteText"/>
        <w:ind w:left="-567" w:right="-709" w:firstLine="567"/>
        <w:jc w:val="both"/>
        <w:rPr>
          <w:sz w:val="20"/>
          <w:lang w:val="ro-RO"/>
        </w:rPr>
      </w:pPr>
      <w:r w:rsidRPr="006A62D4">
        <w:rPr>
          <w:sz w:val="20"/>
          <w:lang w:val="ro-RO"/>
        </w:rPr>
        <w:t xml:space="preserve">e) diferite expresii paradoxale - A se vedea: Hilarion Alfeyev, </w:t>
      </w:r>
      <w:r w:rsidRPr="006A62D4">
        <w:rPr>
          <w:i/>
          <w:sz w:val="20"/>
          <w:lang w:val="ro-RO"/>
        </w:rPr>
        <w:t xml:space="preserve">St. Symeon the New Theologian and Orthodox Tradition, </w:t>
      </w:r>
      <w:r w:rsidRPr="006A62D4">
        <w:rPr>
          <w:sz w:val="20"/>
          <w:lang w:val="ro-RO"/>
        </w:rPr>
        <w:t xml:space="preserve">mss. teză de doctorat, Oxford, 1995, p. 200. </w:t>
      </w:r>
    </w:p>
  </w:footnote>
  <w:footnote w:id="6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201-202.</w:t>
      </w:r>
    </w:p>
  </w:footnote>
  <w:footnote w:id="6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Ch. </w:t>
      </w:r>
      <w:r w:rsidRPr="006A62D4">
        <w:rPr>
          <w:sz w:val="20"/>
          <w:lang w:val="ro-RO"/>
        </w:rPr>
        <w:t>Yannaras</w:t>
      </w:r>
      <w:r w:rsidRPr="006A62D4">
        <w:rPr>
          <w:i/>
          <w:sz w:val="20"/>
          <w:lang w:val="ro-RO"/>
        </w:rPr>
        <w:t>, op. cit.,</w:t>
      </w:r>
      <w:r w:rsidRPr="006A62D4">
        <w:rPr>
          <w:sz w:val="20"/>
          <w:lang w:val="ro-RO"/>
        </w:rPr>
        <w:t xml:space="preserve"> p. 81.</w:t>
      </w:r>
    </w:p>
  </w:footnote>
  <w:footnote w:id="6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Vl. </w:t>
      </w:r>
      <w:r w:rsidRPr="006A62D4">
        <w:rPr>
          <w:sz w:val="20"/>
          <w:lang w:val="ro-RO"/>
        </w:rPr>
        <w:t>Lossky,</w:t>
      </w:r>
      <w:r w:rsidRPr="006A62D4">
        <w:rPr>
          <w:i/>
          <w:sz w:val="20"/>
          <w:lang w:val="ro-RO"/>
        </w:rPr>
        <w:t xml:space="preserve"> După chipul şi asemănarea lui Dumnezeu..., </w:t>
      </w:r>
      <w:r w:rsidRPr="006A62D4">
        <w:rPr>
          <w:sz w:val="20"/>
          <w:lang w:val="ro-RO"/>
        </w:rPr>
        <w:t>p. 10.</w:t>
      </w:r>
    </w:p>
  </w:footnote>
  <w:footnote w:id="6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Teologia morală ortodoxă</w:t>
      </w:r>
      <w:r w:rsidRPr="006A62D4">
        <w:rPr>
          <w:sz w:val="20"/>
          <w:lang w:val="ro-RO"/>
        </w:rPr>
        <w:t xml:space="preserve">, vol. III, </w:t>
      </w:r>
      <w:r w:rsidRPr="006A62D4">
        <w:rPr>
          <w:i/>
          <w:sz w:val="20"/>
          <w:lang w:val="ro-RO"/>
        </w:rPr>
        <w:t>Spiritualitatea ortodoxă,</w:t>
      </w:r>
      <w:r w:rsidRPr="006A62D4">
        <w:rPr>
          <w:sz w:val="20"/>
          <w:lang w:val="ro-RO"/>
        </w:rPr>
        <w:t xml:space="preserve"> Ed. I.B.M.B.O.R., Bucureşti, 1981, p. 196.</w:t>
      </w:r>
    </w:p>
  </w:footnote>
  <w:footnote w:id="6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202-203.</w:t>
      </w:r>
    </w:p>
  </w:footnote>
  <w:footnote w:id="6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Ion Bria, </w:t>
      </w:r>
      <w:r w:rsidRPr="006A62D4">
        <w:rPr>
          <w:i/>
          <w:sz w:val="20"/>
          <w:lang w:val="ro-RO"/>
        </w:rPr>
        <w:t xml:space="preserve">Spaţiul nemuririi sau eternizarea umanului în Dumnezeu în viziunea teologică şi spirituală a Părintelui Stăniloae, </w:t>
      </w:r>
      <w:r w:rsidRPr="006A62D4">
        <w:rPr>
          <w:sz w:val="20"/>
          <w:lang w:val="ro-RO"/>
        </w:rPr>
        <w:t>Ed. Mitropoliei Moldovei şi Bucovinei, Iaşi, 1994, p. 12.</w:t>
      </w:r>
    </w:p>
  </w:footnote>
  <w:footnote w:id="6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Spiritualitatea ortodoxă...</w:t>
      </w:r>
      <w:r w:rsidRPr="006A62D4">
        <w:rPr>
          <w:sz w:val="20"/>
          <w:lang w:val="ro-RO"/>
        </w:rPr>
        <w:t xml:space="preserve">, p. 204, la Pr. Prof. Dr. Ion Bria, </w:t>
      </w:r>
      <w:r w:rsidRPr="006A62D4">
        <w:rPr>
          <w:i/>
          <w:sz w:val="20"/>
          <w:lang w:val="ro-RO"/>
        </w:rPr>
        <w:t>Spaţiul nemuririi...</w:t>
      </w:r>
      <w:r w:rsidRPr="006A62D4">
        <w:rPr>
          <w:sz w:val="20"/>
          <w:lang w:val="ro-RO"/>
        </w:rPr>
        <w:t>, p. 12.</w:t>
      </w:r>
    </w:p>
  </w:footnote>
  <w:footnote w:id="7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Ion Bria, </w:t>
      </w:r>
      <w:r w:rsidRPr="006A62D4">
        <w:rPr>
          <w:i/>
          <w:sz w:val="20"/>
          <w:lang w:val="ro-RO"/>
        </w:rPr>
        <w:t>Spaţiul nemuririi...</w:t>
      </w:r>
      <w:r w:rsidRPr="006A62D4">
        <w:rPr>
          <w:sz w:val="20"/>
          <w:lang w:val="ro-RO"/>
        </w:rPr>
        <w:t>, pp. 13-14.</w:t>
      </w:r>
    </w:p>
  </w:footnote>
  <w:footnote w:id="7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Spiritualitatea ortodoxă...</w:t>
      </w:r>
      <w:r w:rsidRPr="006A62D4">
        <w:rPr>
          <w:sz w:val="20"/>
          <w:lang w:val="ro-RO"/>
        </w:rPr>
        <w:t>, p. 196.</w:t>
      </w:r>
    </w:p>
  </w:footnote>
  <w:footnote w:id="7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Grigorie Palama,</w:t>
      </w:r>
      <w:r w:rsidRPr="006A62D4">
        <w:rPr>
          <w:i/>
          <w:sz w:val="20"/>
          <w:lang w:val="ro-RO"/>
        </w:rPr>
        <w:t xml:space="preserve"> „</w:t>
      </w:r>
      <w:r w:rsidRPr="006A62D4">
        <w:rPr>
          <w:sz w:val="20"/>
          <w:lang w:val="ro-RO"/>
        </w:rPr>
        <w:t>Despre lumina sfântă”</w:t>
      </w:r>
      <w:r w:rsidRPr="006A62D4">
        <w:rPr>
          <w:i/>
          <w:sz w:val="20"/>
          <w:lang w:val="ro-RO"/>
        </w:rPr>
        <w:t>,</w:t>
      </w:r>
      <w:r w:rsidRPr="006A62D4">
        <w:rPr>
          <w:sz w:val="20"/>
          <w:lang w:val="ro-RO"/>
        </w:rPr>
        <w:t xml:space="preserve"> în </w:t>
      </w:r>
      <w:r w:rsidRPr="006A62D4">
        <w:rPr>
          <w:i/>
          <w:sz w:val="20"/>
          <w:lang w:val="ro-RO"/>
        </w:rPr>
        <w:t xml:space="preserve">F.R., </w:t>
      </w:r>
      <w:r w:rsidRPr="006A62D4">
        <w:rPr>
          <w:sz w:val="20"/>
          <w:lang w:val="ro-RO"/>
        </w:rPr>
        <w:t>vol. VII…, p. 310.</w:t>
      </w:r>
    </w:p>
  </w:footnote>
  <w:footnote w:id="7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op. cit.,</w:t>
      </w:r>
      <w:r w:rsidRPr="006A62D4">
        <w:rPr>
          <w:sz w:val="20"/>
          <w:lang w:val="ro-RO"/>
        </w:rPr>
        <w:t xml:space="preserve"> p. 212.</w:t>
      </w:r>
    </w:p>
  </w:footnote>
  <w:footnote w:id="7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Maxim Mărturisitorul, „Cele patru sute capete despre dragoste”</w:t>
      </w:r>
      <w:r w:rsidRPr="006A62D4">
        <w:rPr>
          <w:i/>
          <w:sz w:val="20"/>
          <w:lang w:val="ro-RO"/>
        </w:rPr>
        <w:t>,</w:t>
      </w:r>
      <w:r w:rsidRPr="006A62D4">
        <w:rPr>
          <w:sz w:val="20"/>
          <w:lang w:val="ro-RO"/>
        </w:rPr>
        <w:t xml:space="preserve"> în </w:t>
      </w:r>
      <w:r w:rsidRPr="006A62D4">
        <w:rPr>
          <w:i/>
          <w:sz w:val="20"/>
          <w:lang w:val="ro-RO"/>
        </w:rPr>
        <w:t>F.R.</w:t>
      </w:r>
      <w:r w:rsidRPr="006A62D4">
        <w:rPr>
          <w:sz w:val="20"/>
          <w:lang w:val="ro-RO"/>
        </w:rPr>
        <w:t>, vol. II…, p. 55.</w:t>
      </w:r>
    </w:p>
  </w:footnote>
  <w:footnote w:id="7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J.C. </w:t>
      </w:r>
      <w:r w:rsidRPr="006A62D4">
        <w:rPr>
          <w:sz w:val="20"/>
          <w:lang w:val="ro-RO"/>
        </w:rPr>
        <w:t xml:space="preserve">Larchet, </w:t>
      </w:r>
      <w:r w:rsidRPr="006A62D4">
        <w:rPr>
          <w:i/>
          <w:sz w:val="20"/>
          <w:lang w:val="ro-RO"/>
        </w:rPr>
        <w:t xml:space="preserve">op. cit., </w:t>
      </w:r>
      <w:r w:rsidRPr="006A62D4">
        <w:rPr>
          <w:sz w:val="20"/>
          <w:lang w:val="ro-RO"/>
        </w:rPr>
        <w:t>p. 519.</w:t>
      </w:r>
    </w:p>
  </w:footnote>
  <w:footnote w:id="7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Pr>
          <w:sz w:val="20"/>
          <w:lang w:val="ro-RO"/>
        </w:rPr>
        <w:t>„</w:t>
      </w:r>
      <w:r w:rsidRPr="00E37065">
        <w:rPr>
          <w:sz w:val="20"/>
          <w:lang w:val="ro-RO"/>
        </w:rPr>
        <w:t>Cuvânt ascetic</w:t>
      </w:r>
      <w:r>
        <w:rPr>
          <w:sz w:val="20"/>
          <w:lang w:val="ro-RO"/>
        </w:rPr>
        <w:t>”</w:t>
      </w:r>
      <w:r w:rsidRPr="00E37065">
        <w:rPr>
          <w:sz w:val="20"/>
          <w:lang w:val="ro-RO"/>
        </w:rPr>
        <w:t>,</w:t>
      </w:r>
      <w:r w:rsidRPr="006A62D4">
        <w:rPr>
          <w:i/>
          <w:sz w:val="20"/>
          <w:lang w:val="ro-RO"/>
        </w:rPr>
        <w:t xml:space="preserve"> </w:t>
      </w:r>
      <w:r w:rsidRPr="006A62D4">
        <w:rPr>
          <w:sz w:val="20"/>
          <w:lang w:val="ro-RO"/>
        </w:rPr>
        <w:t xml:space="preserve">în </w:t>
      </w:r>
      <w:r w:rsidRPr="006A62D4">
        <w:rPr>
          <w:i/>
          <w:sz w:val="20"/>
          <w:lang w:val="ro-RO"/>
        </w:rPr>
        <w:t>F</w:t>
      </w:r>
      <w:r>
        <w:rPr>
          <w:i/>
          <w:sz w:val="20"/>
          <w:lang w:val="ro-RO"/>
        </w:rPr>
        <w:t>.</w:t>
      </w:r>
      <w:r w:rsidRPr="006A62D4">
        <w:rPr>
          <w:i/>
          <w:sz w:val="20"/>
          <w:lang w:val="ro-RO"/>
        </w:rPr>
        <w:t>R</w:t>
      </w:r>
      <w:r>
        <w:rPr>
          <w:i/>
          <w:sz w:val="20"/>
          <w:lang w:val="ro-RO"/>
        </w:rPr>
        <w:t>.</w:t>
      </w:r>
      <w:r w:rsidRPr="006A62D4">
        <w:rPr>
          <w:i/>
          <w:sz w:val="20"/>
          <w:lang w:val="ro-RO"/>
        </w:rPr>
        <w:t xml:space="preserve">, </w:t>
      </w:r>
      <w:r w:rsidRPr="006A62D4">
        <w:rPr>
          <w:sz w:val="20"/>
          <w:lang w:val="ro-RO"/>
        </w:rPr>
        <w:t>vol. II…, p. 15.</w:t>
      </w:r>
    </w:p>
  </w:footnote>
  <w:footnote w:id="7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Pr>
          <w:sz w:val="20"/>
          <w:lang w:val="ro-RO"/>
        </w:rPr>
        <w:t>„</w:t>
      </w:r>
      <w:r w:rsidRPr="00E37065">
        <w:rPr>
          <w:sz w:val="20"/>
          <w:lang w:val="ro-RO"/>
        </w:rPr>
        <w:t>De oratione</w:t>
      </w:r>
      <w:r>
        <w:rPr>
          <w:sz w:val="20"/>
          <w:lang w:val="ro-RO"/>
        </w:rPr>
        <w:t>”</w:t>
      </w:r>
      <w:r w:rsidRPr="00E37065">
        <w:rPr>
          <w:sz w:val="20"/>
          <w:lang w:val="ro-RO"/>
        </w:rPr>
        <w:t xml:space="preserve">, </w:t>
      </w:r>
      <w:r w:rsidRPr="006A62D4">
        <w:rPr>
          <w:sz w:val="20"/>
          <w:lang w:val="ro-RO"/>
        </w:rPr>
        <w:t>3,</w:t>
      </w:r>
      <w:r w:rsidRPr="006A62D4">
        <w:rPr>
          <w:i/>
          <w:sz w:val="20"/>
          <w:lang w:val="ro-RO"/>
        </w:rPr>
        <w:t xml:space="preserve"> PG</w:t>
      </w:r>
      <w:r w:rsidRPr="006A62D4">
        <w:rPr>
          <w:sz w:val="20"/>
          <w:lang w:val="ro-RO"/>
        </w:rPr>
        <w:t xml:space="preserve"> 79.</w:t>
      </w:r>
    </w:p>
  </w:footnote>
  <w:footnote w:id="7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op. cit</w:t>
      </w:r>
      <w:r w:rsidRPr="006A62D4">
        <w:rPr>
          <w:sz w:val="20"/>
          <w:lang w:val="ro-RO"/>
        </w:rPr>
        <w:t>., p. 214.</w:t>
      </w:r>
    </w:p>
  </w:footnote>
  <w:footnote w:id="7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sidRPr="006A62D4">
        <w:rPr>
          <w:i/>
          <w:sz w:val="20"/>
          <w:lang w:val="ro-RO"/>
        </w:rPr>
        <w:t>Ascetica şi Mistica</w:t>
      </w:r>
      <w:r w:rsidRPr="006A62D4">
        <w:rPr>
          <w:sz w:val="20"/>
          <w:lang w:val="ro-RO"/>
        </w:rPr>
        <w:t>, vol. II…, pp. 73-118.</w:t>
      </w:r>
    </w:p>
  </w:footnote>
  <w:footnote w:id="80">
    <w:p w:rsidR="004D40C5" w:rsidRPr="006A62D4" w:rsidRDefault="004D40C5" w:rsidP="004D40C5">
      <w:pPr>
        <w:pStyle w:val="FootnoteText"/>
        <w:ind w:left="-567" w:right="-709"/>
        <w:jc w:val="both"/>
        <w:rPr>
          <w:sz w:val="20"/>
          <w:lang w:val="ro-RO"/>
        </w:rPr>
      </w:pPr>
      <w:r w:rsidRPr="006A62D4">
        <w:rPr>
          <w:rStyle w:val="FootnoteCharacters"/>
          <w:sz w:val="20"/>
          <w:lang w:val="ro-RO"/>
        </w:rPr>
        <w:t>80</w:t>
      </w:r>
      <w:r w:rsidRPr="006A62D4">
        <w:rPr>
          <w:sz w:val="20"/>
          <w:lang w:val="ro-RO"/>
        </w:rPr>
        <w:t xml:space="preserve"> </w:t>
      </w:r>
      <w:r w:rsidRPr="006A62D4">
        <w:rPr>
          <w:sz w:val="20"/>
          <w:lang w:val="ro-RO"/>
        </w:rPr>
        <w:t xml:space="preserve">Sf. Ignatie Branceaninov, </w:t>
      </w:r>
      <w:r w:rsidRPr="006A62D4">
        <w:rPr>
          <w:i/>
          <w:sz w:val="20"/>
          <w:lang w:val="ro-RO"/>
        </w:rPr>
        <w:t>Cuvânt despre Rugăciunea lui Iisus</w:t>
      </w:r>
      <w:r w:rsidRPr="006A62D4">
        <w:rPr>
          <w:sz w:val="20"/>
          <w:lang w:val="ro-RO"/>
        </w:rPr>
        <w:t xml:space="preserve">, Ed. Anastasia, Bucureşti, 1996; </w:t>
      </w:r>
      <w:r w:rsidRPr="006A62D4">
        <w:rPr>
          <w:i/>
          <w:sz w:val="20"/>
          <w:lang w:val="ro-RO"/>
        </w:rPr>
        <w:t>Rugăciunea lui Iisus. Fragmente filocalice</w:t>
      </w:r>
      <w:r w:rsidRPr="006A62D4">
        <w:rPr>
          <w:sz w:val="20"/>
          <w:lang w:val="ro-RO"/>
        </w:rPr>
        <w:t xml:space="preserve">, cu un studiu de Episcop Kallistos Ware, Ed. Orthodoxos Kypseli, Bucureşti, 1992; PS. Kallistos Ware, </w:t>
      </w:r>
      <w:r w:rsidRPr="006A62D4">
        <w:rPr>
          <w:i/>
          <w:sz w:val="20"/>
          <w:lang w:val="ro-RO"/>
        </w:rPr>
        <w:t xml:space="preserve">Puterea numelui. Rugăciunea lui Iisus în spiritualitatea ortodoxă, </w:t>
      </w:r>
      <w:r w:rsidRPr="006A62D4">
        <w:rPr>
          <w:sz w:val="20"/>
          <w:lang w:val="ro-RO"/>
        </w:rPr>
        <w:t>Ed.</w:t>
      </w:r>
      <w:r w:rsidRPr="006A62D4">
        <w:rPr>
          <w:i/>
          <w:sz w:val="20"/>
          <w:lang w:val="ro-RO"/>
        </w:rPr>
        <w:t xml:space="preserve"> </w:t>
      </w:r>
      <w:r w:rsidRPr="006A62D4">
        <w:rPr>
          <w:sz w:val="20"/>
          <w:lang w:val="ro-RO"/>
        </w:rPr>
        <w:t xml:space="preserve">Christiana, Bucureşti, 1992; </w:t>
      </w:r>
      <w:r w:rsidRPr="006A62D4">
        <w:rPr>
          <w:i/>
          <w:sz w:val="20"/>
          <w:lang w:val="ro-RO"/>
        </w:rPr>
        <w:t>Meditaţii despre Rugăciunea inimii</w:t>
      </w:r>
      <w:r w:rsidRPr="006A62D4">
        <w:rPr>
          <w:sz w:val="20"/>
          <w:lang w:val="ro-RO"/>
        </w:rPr>
        <w:t xml:space="preserve">, Colecţia Comorile Pustiei, Ed. Anastasia, Bucureşti, 1997; Jean Gouillard, </w:t>
      </w:r>
      <w:r w:rsidRPr="006A62D4">
        <w:rPr>
          <w:i/>
          <w:sz w:val="20"/>
          <w:lang w:val="ro-RO"/>
        </w:rPr>
        <w:t>Mica Filocalie a Rugăciunii Inimii,</w:t>
      </w:r>
      <w:r w:rsidRPr="006A62D4">
        <w:rPr>
          <w:sz w:val="20"/>
          <w:lang w:val="ro-RO"/>
        </w:rPr>
        <w:t xml:space="preserve"> Ed. Herald, Bucureşti, f.a.; Olivier Clement, </w:t>
      </w:r>
      <w:r w:rsidRPr="006A62D4">
        <w:rPr>
          <w:i/>
          <w:sz w:val="20"/>
          <w:lang w:val="ro-RO"/>
        </w:rPr>
        <w:t xml:space="preserve">Rugăciunea lui Iisus, </w:t>
      </w:r>
      <w:r w:rsidRPr="006A62D4">
        <w:rPr>
          <w:sz w:val="20"/>
          <w:lang w:val="ro-RO"/>
        </w:rPr>
        <w:t xml:space="preserve">Ed. I.B.M.B.O.R., Bucureşti, 1997; Marc-Antoine Costa de Beauregard, </w:t>
      </w:r>
      <w:r w:rsidRPr="006A62D4">
        <w:rPr>
          <w:i/>
          <w:sz w:val="20"/>
          <w:lang w:val="ro-RO"/>
        </w:rPr>
        <w:t>Rugaţi-vă neîncetat</w:t>
      </w:r>
      <w:r w:rsidRPr="006A62D4">
        <w:rPr>
          <w:sz w:val="20"/>
          <w:lang w:val="ro-RO"/>
        </w:rPr>
        <w:t xml:space="preserve">, Ed. I.B.M.B.O.R., Bucureşti 1998; Irenee Hausher, </w:t>
      </w:r>
      <w:r w:rsidRPr="006A62D4">
        <w:rPr>
          <w:i/>
          <w:sz w:val="20"/>
          <w:lang w:val="ro-RO"/>
        </w:rPr>
        <w:t>Teologia lacrimilor. Plânsul şi străpungerea inimii la Părinţii răsăriteni</w:t>
      </w:r>
      <w:r w:rsidRPr="006A62D4">
        <w:rPr>
          <w:sz w:val="20"/>
          <w:lang w:val="ro-RO"/>
        </w:rPr>
        <w:t xml:space="preserve">, Sibiu, 2000. </w:t>
      </w:r>
    </w:p>
  </w:footnote>
  <w:footnote w:id="8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Orientalia </w:t>
      </w:r>
      <w:r w:rsidRPr="006A62D4">
        <w:rPr>
          <w:sz w:val="20"/>
          <w:lang w:val="ro-RO"/>
        </w:rPr>
        <w:t xml:space="preserve">Christiana Analecta, 132, Roma, 1944; t.r.: Irenee Hausher, </w:t>
      </w:r>
      <w:r w:rsidRPr="006A62D4">
        <w:rPr>
          <w:i/>
          <w:sz w:val="20"/>
          <w:lang w:val="ro-RO"/>
        </w:rPr>
        <w:t>Teologia lacrimilor. Plânsul şi străpungerea inimii la Părinţii răsăriteni, cu o antologie de texte patristice,</w:t>
      </w:r>
      <w:r w:rsidRPr="006A62D4">
        <w:rPr>
          <w:sz w:val="20"/>
          <w:lang w:val="ro-RO"/>
        </w:rPr>
        <w:t xml:space="preserve"> Sibiu, 2000.</w:t>
      </w:r>
    </w:p>
  </w:footnote>
  <w:footnote w:id="8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M. </w:t>
      </w:r>
      <w:r w:rsidRPr="006A62D4">
        <w:rPr>
          <w:sz w:val="20"/>
          <w:lang w:val="ro-RO"/>
        </w:rPr>
        <w:t>Lot-Borodine, „Le mystere du ‹‹don des larmes›› dans l’Orient chretien”, în: Vie Spirituelle, Suppl., 1936, pp. 65-110.</w:t>
      </w:r>
    </w:p>
  </w:footnote>
  <w:footnote w:id="83">
    <w:p w:rsidR="004D40C5" w:rsidRPr="006A62D4" w:rsidRDefault="004D40C5" w:rsidP="004D40C5">
      <w:pPr>
        <w:pStyle w:val="FootnoteText"/>
        <w:ind w:left="-567" w:right="-709"/>
        <w:jc w:val="both"/>
        <w:rPr>
          <w:sz w:val="20"/>
          <w:lang w:val="ro-RO"/>
        </w:rPr>
      </w:pPr>
      <w:r w:rsidRPr="006A62D4">
        <w:rPr>
          <w:rStyle w:val="FootnoteCharacters"/>
          <w:sz w:val="20"/>
          <w:lang w:val="ro-RO"/>
        </w:rPr>
        <w:t>83</w:t>
      </w:r>
      <w:r w:rsidRPr="006A62D4">
        <w:rPr>
          <w:sz w:val="20"/>
          <w:lang w:val="ro-RO"/>
        </w:rPr>
        <w:t xml:space="preserve"> </w:t>
      </w:r>
      <w:r w:rsidRPr="006A62D4">
        <w:rPr>
          <w:sz w:val="20"/>
          <w:lang w:val="ro-RO"/>
        </w:rPr>
        <w:t xml:space="preserve">Karl Holl, </w:t>
      </w:r>
      <w:r w:rsidRPr="006A62D4">
        <w:rPr>
          <w:i/>
          <w:sz w:val="20"/>
          <w:lang w:val="ro-RO"/>
        </w:rPr>
        <w:t>Enthusiasmus und Bussgewalt beim griechischen Monchtum. Eine Studie zu Symeon dem Neuen Theologen</w:t>
      </w:r>
      <w:r w:rsidRPr="006A62D4">
        <w:rPr>
          <w:sz w:val="20"/>
          <w:lang w:val="ro-RO"/>
        </w:rPr>
        <w:t xml:space="preserve">, Leipzig, 1898, p. 61. </w:t>
      </w:r>
    </w:p>
  </w:footnote>
  <w:footnote w:id="8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proofErr w:type="gramStart"/>
      <w:r>
        <w:rPr>
          <w:sz w:val="20"/>
        </w:rPr>
        <w:t>„</w:t>
      </w:r>
      <w:r w:rsidRPr="00E37065">
        <w:rPr>
          <w:sz w:val="20"/>
          <w:lang w:val="ro-RO"/>
        </w:rPr>
        <w:t>Apophtegmata ton hagion Geronton</w:t>
      </w:r>
      <w:r>
        <w:rPr>
          <w:sz w:val="20"/>
          <w:lang w:val="ro-RO"/>
        </w:rPr>
        <w:t>”</w:t>
      </w:r>
      <w:r w:rsidRPr="00E37065">
        <w:rPr>
          <w:sz w:val="20"/>
          <w:lang w:val="ro-RO"/>
        </w:rPr>
        <w:t>,</w:t>
      </w:r>
      <w:r w:rsidRPr="006A62D4">
        <w:rPr>
          <w:sz w:val="20"/>
          <w:lang w:val="ro-RO"/>
        </w:rPr>
        <w:t xml:space="preserve"> </w:t>
      </w:r>
      <w:r w:rsidRPr="006A62D4">
        <w:rPr>
          <w:i/>
          <w:sz w:val="20"/>
          <w:lang w:val="ro-RO"/>
        </w:rPr>
        <w:t>P.G.</w:t>
      </w:r>
      <w:r w:rsidRPr="006A62D4">
        <w:rPr>
          <w:sz w:val="20"/>
          <w:lang w:val="ro-RO"/>
        </w:rPr>
        <w:t xml:space="preserve"> 65, 76A- 440D.</w:t>
      </w:r>
      <w:proofErr w:type="gramEnd"/>
    </w:p>
  </w:footnote>
  <w:footnote w:id="8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Pierre </w:t>
      </w:r>
      <w:r w:rsidRPr="006A62D4">
        <w:rPr>
          <w:sz w:val="20"/>
          <w:lang w:val="ro-RO"/>
        </w:rPr>
        <w:t>Miquel,</w:t>
      </w:r>
      <w:r w:rsidRPr="006A62D4">
        <w:rPr>
          <w:i/>
          <w:sz w:val="20"/>
          <w:lang w:val="ro-RO"/>
        </w:rPr>
        <w:t xml:space="preserve"> Lexique du desert, Spiritualite Orientale,</w:t>
      </w:r>
      <w:r w:rsidRPr="006A62D4">
        <w:rPr>
          <w:sz w:val="20"/>
          <w:lang w:val="ro-RO"/>
        </w:rPr>
        <w:t xml:space="preserve"> 44, Abbaye de Bellefontaine, 1986, p. 226.</w:t>
      </w:r>
    </w:p>
  </w:footnote>
  <w:footnote w:id="8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Ex.: </w:t>
      </w:r>
      <w:r w:rsidRPr="006A62D4">
        <w:rPr>
          <w:sz w:val="20"/>
          <w:lang w:val="ro-RO"/>
        </w:rPr>
        <w:t xml:space="preserve">Sf Atanasie a folosit pentru prima dată sintagma darul (harisma) lacrimilor - </w:t>
      </w:r>
      <w:r w:rsidRPr="006A62D4">
        <w:rPr>
          <w:i/>
          <w:sz w:val="20"/>
          <w:lang w:val="ro-RO"/>
        </w:rPr>
        <w:t>harisma tou dakryon-,</w:t>
      </w:r>
      <w:r w:rsidRPr="006A62D4">
        <w:rPr>
          <w:sz w:val="20"/>
          <w:lang w:val="ro-RO"/>
        </w:rPr>
        <w:t xml:space="preserve"> </w:t>
      </w:r>
      <w:r w:rsidRPr="006A62D4">
        <w:rPr>
          <w:i/>
          <w:sz w:val="20"/>
          <w:lang w:val="ro-RO"/>
        </w:rPr>
        <w:t xml:space="preserve">De virg. </w:t>
      </w:r>
      <w:r w:rsidRPr="006A62D4">
        <w:rPr>
          <w:sz w:val="20"/>
          <w:lang w:val="ro-RO"/>
        </w:rPr>
        <w:t>17</w:t>
      </w:r>
      <w:r w:rsidRPr="006A62D4">
        <w:rPr>
          <w:i/>
          <w:sz w:val="20"/>
          <w:lang w:val="ro-RO"/>
        </w:rPr>
        <w:t>, P.G.</w:t>
      </w:r>
      <w:r w:rsidRPr="006A62D4">
        <w:rPr>
          <w:sz w:val="20"/>
          <w:lang w:val="ro-RO"/>
        </w:rPr>
        <w:t xml:space="preserve"> 28, 272C; Sf. Vasile cel Mare, </w:t>
      </w:r>
      <w:r w:rsidRPr="006A62D4">
        <w:rPr>
          <w:i/>
          <w:sz w:val="20"/>
          <w:lang w:val="ro-RO"/>
        </w:rPr>
        <w:t xml:space="preserve">Petites Regles, </w:t>
      </w:r>
      <w:r w:rsidRPr="006A62D4">
        <w:rPr>
          <w:sz w:val="20"/>
          <w:lang w:val="ro-RO"/>
        </w:rPr>
        <w:t xml:space="preserve">16, Maredsous, pp. 183-184, la P. Miguel, </w:t>
      </w:r>
      <w:r w:rsidRPr="006A62D4">
        <w:rPr>
          <w:i/>
          <w:sz w:val="20"/>
          <w:lang w:val="ro-RO"/>
        </w:rPr>
        <w:t>op. cit.</w:t>
      </w:r>
      <w:r w:rsidRPr="006A62D4">
        <w:rPr>
          <w:sz w:val="20"/>
          <w:lang w:val="ro-RO"/>
        </w:rPr>
        <w:t xml:space="preserve">, p. 232; Sfântul Grigorie de Nazians, </w:t>
      </w:r>
      <w:r w:rsidRPr="006A62D4">
        <w:rPr>
          <w:i/>
          <w:sz w:val="20"/>
          <w:lang w:val="ro-RO"/>
        </w:rPr>
        <w:t xml:space="preserve">Or. </w:t>
      </w:r>
      <w:r w:rsidRPr="006A62D4">
        <w:rPr>
          <w:sz w:val="20"/>
          <w:lang w:val="ro-RO"/>
        </w:rPr>
        <w:t>39, 17</w:t>
      </w:r>
      <w:r w:rsidRPr="006A62D4">
        <w:rPr>
          <w:i/>
          <w:sz w:val="20"/>
          <w:lang w:val="ro-RO"/>
        </w:rPr>
        <w:t>, P.G.</w:t>
      </w:r>
      <w:r w:rsidRPr="006A62D4">
        <w:rPr>
          <w:sz w:val="20"/>
          <w:lang w:val="ro-RO"/>
        </w:rPr>
        <w:t xml:space="preserve"> 36, 356 A; Sfântul Grigorie de Nyssa,</w:t>
      </w:r>
      <w:r w:rsidRPr="006A62D4">
        <w:rPr>
          <w:i/>
          <w:sz w:val="20"/>
          <w:lang w:val="ro-RO"/>
        </w:rPr>
        <w:t xml:space="preserve"> </w:t>
      </w:r>
      <w:r w:rsidRPr="00E37065">
        <w:rPr>
          <w:sz w:val="20"/>
          <w:lang w:val="ro-RO"/>
        </w:rPr>
        <w:t>„De Baptismo</w:t>
      </w:r>
      <w:r>
        <w:rPr>
          <w:sz w:val="20"/>
          <w:lang w:val="ro-RO"/>
        </w:rPr>
        <w:t>”</w:t>
      </w:r>
      <w:r w:rsidRPr="006A62D4">
        <w:rPr>
          <w:i/>
          <w:sz w:val="20"/>
          <w:lang w:val="ro-RO"/>
        </w:rPr>
        <w:t>, P.G.</w:t>
      </w:r>
      <w:r w:rsidRPr="006A62D4">
        <w:rPr>
          <w:sz w:val="20"/>
          <w:lang w:val="ro-RO"/>
        </w:rPr>
        <w:t xml:space="preserve"> 46, 417B; Sf. Isaac Sirul,</w:t>
      </w:r>
      <w:r w:rsidRPr="006A62D4">
        <w:rPr>
          <w:i/>
          <w:sz w:val="20"/>
          <w:lang w:val="ro-RO"/>
        </w:rPr>
        <w:t xml:space="preserve"> Mystical Treatises, </w:t>
      </w:r>
      <w:r w:rsidRPr="006A62D4">
        <w:rPr>
          <w:sz w:val="20"/>
          <w:lang w:val="ro-RO"/>
        </w:rPr>
        <w:t>Ed. Bedjan, p. 139.</w:t>
      </w:r>
    </w:p>
  </w:footnote>
  <w:footnote w:id="8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Ioan Scărarul, „Despre plânsul de bucurie făcător”, în </w:t>
      </w:r>
      <w:r w:rsidRPr="006A62D4">
        <w:rPr>
          <w:i/>
          <w:sz w:val="20"/>
          <w:lang w:val="ro-RO"/>
        </w:rPr>
        <w:t>F.R.</w:t>
      </w:r>
      <w:r w:rsidRPr="006A62D4">
        <w:rPr>
          <w:sz w:val="20"/>
          <w:lang w:val="ro-RO"/>
        </w:rPr>
        <w:t>, vol. IX…, p. 164.</w:t>
      </w:r>
    </w:p>
  </w:footnote>
  <w:footnote w:id="8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pp. 164-165.</w:t>
      </w:r>
    </w:p>
  </w:footnote>
  <w:footnote w:id="8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166.</w:t>
      </w:r>
    </w:p>
  </w:footnote>
  <w:footnote w:id="9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Vita</w:t>
      </w:r>
      <w:r w:rsidRPr="006A62D4">
        <w:rPr>
          <w:sz w:val="20"/>
          <w:lang w:val="ro-RO"/>
        </w:rPr>
        <w:t xml:space="preserve">, </w:t>
      </w:r>
      <w:r w:rsidRPr="006A62D4">
        <w:rPr>
          <w:sz w:val="20"/>
          <w:lang w:val="ro-RO"/>
        </w:rPr>
        <w:t>Ed. Hausher, p. 45.</w:t>
      </w:r>
    </w:p>
  </w:footnote>
  <w:footnote w:id="9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Simeon Noul Teolog, </w:t>
      </w:r>
      <w:r>
        <w:rPr>
          <w:sz w:val="20"/>
          <w:lang w:val="ro-RO"/>
        </w:rPr>
        <w:t>„</w:t>
      </w:r>
      <w:r w:rsidRPr="00E37065">
        <w:rPr>
          <w:sz w:val="20"/>
          <w:lang w:val="ro-RO"/>
        </w:rPr>
        <w:t>Imn 4</w:t>
      </w:r>
      <w:r>
        <w:rPr>
          <w:sz w:val="20"/>
          <w:lang w:val="ro-RO"/>
        </w:rPr>
        <w:t>”</w:t>
      </w:r>
      <w:r w:rsidRPr="006A62D4">
        <w:rPr>
          <w:sz w:val="20"/>
          <w:lang w:val="ro-RO"/>
        </w:rPr>
        <w:t xml:space="preserve"> (Z19), la Pr. Prof. Acad. Dr. Dumitru Stăniloae,</w:t>
      </w:r>
      <w:r w:rsidRPr="006A62D4">
        <w:rPr>
          <w:i/>
          <w:sz w:val="20"/>
          <w:lang w:val="ro-RO"/>
        </w:rPr>
        <w:t xml:space="preserve"> Studii de Teologie Dogmatică Otodoxă,</w:t>
      </w:r>
      <w:r w:rsidRPr="006A62D4">
        <w:rPr>
          <w:sz w:val="20"/>
          <w:lang w:val="ro-RO"/>
        </w:rPr>
        <w:t xml:space="preserve"> Ed. Mitropoliei Olteniei, Craiova, 1990, p. 346.</w:t>
      </w:r>
    </w:p>
  </w:footnote>
  <w:footnote w:id="9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 </w:t>
      </w:r>
      <w:r w:rsidRPr="006A62D4">
        <w:rPr>
          <w:sz w:val="20"/>
          <w:lang w:val="ro-RO"/>
        </w:rPr>
        <w:t xml:space="preserve">Hausherr, </w:t>
      </w:r>
      <w:r w:rsidRPr="006A62D4">
        <w:rPr>
          <w:i/>
          <w:sz w:val="20"/>
          <w:lang w:val="ro-RO"/>
        </w:rPr>
        <w:t>op. cit</w:t>
      </w:r>
      <w:r w:rsidRPr="006A62D4">
        <w:rPr>
          <w:sz w:val="20"/>
          <w:lang w:val="ro-RO"/>
        </w:rPr>
        <w:t>., p. 148.</w:t>
      </w:r>
    </w:p>
  </w:footnote>
  <w:footnote w:id="9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Simeon Noul Teolog, </w:t>
      </w:r>
      <w:r>
        <w:rPr>
          <w:sz w:val="20"/>
          <w:lang w:val="ro-RO"/>
        </w:rPr>
        <w:t>„</w:t>
      </w:r>
      <w:r w:rsidRPr="00E37065">
        <w:rPr>
          <w:sz w:val="20"/>
          <w:lang w:val="ro-RO"/>
        </w:rPr>
        <w:t>Discursuri etice</w:t>
      </w:r>
      <w:r>
        <w:rPr>
          <w:sz w:val="20"/>
          <w:lang w:val="ro-RO"/>
        </w:rPr>
        <w:t>”</w:t>
      </w:r>
      <w:r w:rsidRPr="00E37065">
        <w:rPr>
          <w:sz w:val="20"/>
          <w:lang w:val="ro-RO"/>
        </w:rPr>
        <w:t>,</w:t>
      </w:r>
      <w:r w:rsidRPr="006A62D4">
        <w:rPr>
          <w:sz w:val="20"/>
          <w:lang w:val="ro-RO"/>
        </w:rPr>
        <w:t xml:space="preserve"> X, 114-119. </w:t>
      </w:r>
      <w:r w:rsidRPr="006A62D4">
        <w:rPr>
          <w:i/>
          <w:sz w:val="20"/>
          <w:lang w:val="ro-RO"/>
        </w:rPr>
        <w:t xml:space="preserve">SC, </w:t>
      </w:r>
      <w:r w:rsidRPr="006A62D4">
        <w:rPr>
          <w:sz w:val="20"/>
          <w:lang w:val="ro-RO"/>
        </w:rPr>
        <w:t>129.</w:t>
      </w:r>
    </w:p>
  </w:footnote>
  <w:footnote w:id="9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Pr>
          <w:sz w:val="20"/>
          <w:lang w:val="ro-RO"/>
        </w:rPr>
        <w:t>„</w:t>
      </w:r>
      <w:r w:rsidRPr="00E37065">
        <w:rPr>
          <w:sz w:val="20"/>
          <w:lang w:val="ro-RO"/>
        </w:rPr>
        <w:t>Cateheze</w:t>
      </w:r>
      <w:r>
        <w:rPr>
          <w:sz w:val="20"/>
          <w:lang w:val="ro-RO"/>
        </w:rPr>
        <w:t>”</w:t>
      </w:r>
      <w:r w:rsidRPr="00E37065">
        <w:rPr>
          <w:sz w:val="20"/>
          <w:lang w:val="ro-RO"/>
        </w:rPr>
        <w:t>, IV,</w:t>
      </w:r>
      <w:r w:rsidRPr="006A62D4">
        <w:rPr>
          <w:i/>
          <w:sz w:val="20"/>
          <w:lang w:val="ro-RO"/>
        </w:rPr>
        <w:t xml:space="preserve"> </w:t>
      </w:r>
      <w:r w:rsidRPr="006A62D4">
        <w:rPr>
          <w:sz w:val="20"/>
          <w:lang w:val="ro-RO"/>
        </w:rPr>
        <w:t>444-448,</w:t>
      </w:r>
      <w:r w:rsidRPr="006A62D4">
        <w:rPr>
          <w:i/>
          <w:sz w:val="20"/>
          <w:lang w:val="ro-RO"/>
        </w:rPr>
        <w:t xml:space="preserve"> SC, </w:t>
      </w:r>
      <w:r w:rsidRPr="006A62D4">
        <w:rPr>
          <w:sz w:val="20"/>
          <w:lang w:val="ro-RO"/>
        </w:rPr>
        <w:t>96.</w:t>
      </w:r>
    </w:p>
  </w:footnote>
  <w:footnote w:id="95">
    <w:p w:rsidR="004D40C5" w:rsidRPr="006A62D4" w:rsidRDefault="004D40C5" w:rsidP="004D40C5">
      <w:pPr>
        <w:pStyle w:val="FootnoteText"/>
        <w:ind w:left="-567" w:right="-709"/>
        <w:jc w:val="both"/>
        <w:rPr>
          <w:sz w:val="20"/>
          <w:lang w:val="ro-RO"/>
        </w:rPr>
      </w:pPr>
      <w:r w:rsidRPr="006A62D4">
        <w:rPr>
          <w:rStyle w:val="FootnoteCharacters"/>
          <w:sz w:val="20"/>
          <w:lang w:val="ro-RO"/>
        </w:rPr>
        <w:t>95</w:t>
      </w:r>
      <w:r w:rsidRPr="006A62D4">
        <w:rPr>
          <w:sz w:val="20"/>
          <w:lang w:val="ro-RO"/>
        </w:rPr>
        <w:t xml:space="preserve"> Idem, </w:t>
      </w:r>
      <w:r>
        <w:rPr>
          <w:sz w:val="20"/>
          <w:lang w:val="ro-RO"/>
        </w:rPr>
        <w:t>„</w:t>
      </w:r>
      <w:r w:rsidRPr="00E37065">
        <w:rPr>
          <w:sz w:val="20"/>
          <w:lang w:val="ro-RO"/>
        </w:rPr>
        <w:t>Capete</w:t>
      </w:r>
      <w:r>
        <w:rPr>
          <w:sz w:val="20"/>
          <w:lang w:val="ro-RO"/>
        </w:rPr>
        <w:t>”</w:t>
      </w:r>
      <w:r w:rsidRPr="00E37065">
        <w:rPr>
          <w:sz w:val="20"/>
          <w:lang w:val="ro-RO"/>
        </w:rPr>
        <w:t>,</w:t>
      </w:r>
      <w:r w:rsidRPr="006A62D4">
        <w:rPr>
          <w:sz w:val="20"/>
          <w:lang w:val="ro-RO"/>
        </w:rPr>
        <w:t xml:space="preserve"> 1, 35, în </w:t>
      </w:r>
      <w:r w:rsidRPr="006A62D4">
        <w:rPr>
          <w:i/>
          <w:sz w:val="20"/>
          <w:lang w:val="ro-RO"/>
        </w:rPr>
        <w:t xml:space="preserve">F.R., </w:t>
      </w:r>
      <w:r w:rsidRPr="006A62D4">
        <w:rPr>
          <w:sz w:val="20"/>
          <w:lang w:val="ro-RO"/>
        </w:rPr>
        <w:t xml:space="preserve">vol. VI, p. 26. </w:t>
      </w:r>
    </w:p>
  </w:footnote>
  <w:footnote w:id="9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Pr>
          <w:sz w:val="20"/>
          <w:lang w:val="ro-RO"/>
        </w:rPr>
        <w:t>„</w:t>
      </w:r>
      <w:r w:rsidRPr="00E37065">
        <w:rPr>
          <w:sz w:val="20"/>
          <w:lang w:val="ro-RO"/>
        </w:rPr>
        <w:t>Discursuri etice</w:t>
      </w:r>
      <w:r>
        <w:rPr>
          <w:sz w:val="20"/>
          <w:lang w:val="ro-RO"/>
        </w:rPr>
        <w:t>”</w:t>
      </w:r>
      <w:r w:rsidRPr="00E37065">
        <w:rPr>
          <w:sz w:val="20"/>
          <w:lang w:val="ro-RO"/>
        </w:rPr>
        <w:t>,</w:t>
      </w:r>
      <w:r w:rsidRPr="006A62D4">
        <w:rPr>
          <w:sz w:val="20"/>
          <w:lang w:val="ro-RO"/>
        </w:rPr>
        <w:t xml:space="preserve"> X, 441-448, </w:t>
      </w:r>
      <w:r w:rsidRPr="006A62D4">
        <w:rPr>
          <w:i/>
          <w:sz w:val="20"/>
          <w:lang w:val="ro-RO"/>
        </w:rPr>
        <w:t xml:space="preserve">SC, </w:t>
      </w:r>
      <w:r w:rsidRPr="006A62D4">
        <w:rPr>
          <w:sz w:val="20"/>
          <w:lang w:val="ro-RO"/>
        </w:rPr>
        <w:t>129, t.r. de diac. Ioan I. Ică jr., în: Sf. Simeon Noul Teolog,</w:t>
      </w:r>
      <w:r w:rsidRPr="006A62D4">
        <w:rPr>
          <w:i/>
          <w:sz w:val="20"/>
          <w:lang w:val="ro-RO"/>
        </w:rPr>
        <w:t xml:space="preserve"> Discursuri teologice şi etice, Scrieri I, </w:t>
      </w:r>
      <w:r w:rsidRPr="006A62D4">
        <w:rPr>
          <w:sz w:val="20"/>
          <w:lang w:val="ro-RO"/>
        </w:rPr>
        <w:t>Ed. Deisis, Sibiu, 1998, p. 336.</w:t>
      </w:r>
    </w:p>
  </w:footnote>
  <w:footnote w:id="9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w:t>
      </w:r>
      <w:r w:rsidRPr="006A62D4">
        <w:rPr>
          <w:sz w:val="20"/>
          <w:lang w:val="ro-RO"/>
        </w:rPr>
        <w:t xml:space="preserve">se vedea: A. Hatzoupoulos, </w:t>
      </w:r>
      <w:r w:rsidRPr="006A62D4">
        <w:rPr>
          <w:i/>
          <w:sz w:val="20"/>
          <w:lang w:val="ro-RO"/>
        </w:rPr>
        <w:t>Two Outstanding Cases of Byzantine Spirituality: the Macarian Homilies and Symeon the New Theologian,</w:t>
      </w:r>
      <w:r w:rsidRPr="006A62D4">
        <w:rPr>
          <w:sz w:val="20"/>
          <w:lang w:val="ro-RO"/>
        </w:rPr>
        <w:t xml:space="preserve"> Analecta Blatadon, 54, Thesalonica, 1991, în spec. cap.: „Baptism”, pp. 131-155.</w:t>
      </w:r>
    </w:p>
  </w:footnote>
  <w:footnote w:id="9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sidRPr="006A62D4">
        <w:rPr>
          <w:i/>
          <w:sz w:val="20"/>
          <w:lang w:val="ro-RO"/>
        </w:rPr>
        <w:t>Ambigua</w:t>
      </w:r>
      <w:r w:rsidRPr="006A62D4">
        <w:rPr>
          <w:sz w:val="20"/>
          <w:lang w:val="ro-RO"/>
        </w:rPr>
        <w:t xml:space="preserve">, 408, 1409, la Pr. Prof. Dr. Dumitru Stăniloae, </w:t>
      </w:r>
      <w:r w:rsidRPr="006A62D4">
        <w:rPr>
          <w:i/>
          <w:sz w:val="20"/>
          <w:lang w:val="ro-RO"/>
        </w:rPr>
        <w:t xml:space="preserve">Ascetica şi Mistica..., </w:t>
      </w:r>
      <w:r w:rsidRPr="006A62D4">
        <w:rPr>
          <w:sz w:val="20"/>
          <w:lang w:val="ro-RO"/>
        </w:rPr>
        <w:t xml:space="preserve"> p. 119.</w:t>
      </w:r>
    </w:p>
  </w:footnote>
  <w:footnote w:id="9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124.</w:t>
      </w:r>
    </w:p>
  </w:footnote>
  <w:footnote w:id="10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Străniloae, </w:t>
      </w:r>
      <w:r w:rsidRPr="006A62D4">
        <w:rPr>
          <w:i/>
          <w:sz w:val="20"/>
          <w:lang w:val="ro-RO"/>
        </w:rPr>
        <w:t>op. cit.,</w:t>
      </w:r>
      <w:r w:rsidRPr="006A62D4">
        <w:rPr>
          <w:sz w:val="20"/>
          <w:lang w:val="ro-RO"/>
        </w:rPr>
        <w:t xml:space="preserve"> p. 55.</w:t>
      </w:r>
    </w:p>
  </w:footnote>
  <w:footnote w:id="10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Georgios I. Mantzarides</w:t>
      </w:r>
      <w:r w:rsidRPr="006A62D4">
        <w:rPr>
          <w:i/>
          <w:sz w:val="20"/>
          <w:lang w:val="ro-RO"/>
        </w:rPr>
        <w:t>, The Deification of Man</w:t>
      </w:r>
      <w:r w:rsidRPr="006A62D4">
        <w:rPr>
          <w:sz w:val="20"/>
          <w:lang w:val="ro-RO"/>
        </w:rPr>
        <w:t>, St. Vladimir’s Seminary Press, New York, 1984, p. 96.</w:t>
      </w:r>
    </w:p>
  </w:footnote>
  <w:footnote w:id="10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Exaposteilaria</w:t>
      </w:r>
      <w:r w:rsidRPr="006A62D4">
        <w:rPr>
          <w:sz w:val="20"/>
          <w:lang w:val="ro-RO"/>
        </w:rPr>
        <w:t xml:space="preserve"> </w:t>
      </w:r>
      <w:r w:rsidRPr="006A62D4">
        <w:rPr>
          <w:sz w:val="20"/>
          <w:lang w:val="ro-RO"/>
        </w:rPr>
        <w:t xml:space="preserve">la sărbătoarea </w:t>
      </w:r>
      <w:r w:rsidRPr="006A62D4">
        <w:rPr>
          <w:i/>
          <w:sz w:val="20"/>
          <w:lang w:val="ro-RO"/>
        </w:rPr>
        <w:t>Pogorârii Sfântului Duh</w:t>
      </w:r>
      <w:r w:rsidRPr="006A62D4">
        <w:rPr>
          <w:sz w:val="20"/>
          <w:lang w:val="ro-RO"/>
        </w:rPr>
        <w:t xml:space="preserve"> şi la </w:t>
      </w:r>
      <w:r w:rsidRPr="006A62D4">
        <w:rPr>
          <w:i/>
          <w:sz w:val="20"/>
          <w:lang w:val="ro-RO"/>
        </w:rPr>
        <w:t>Schimbarea la Faţă</w:t>
      </w:r>
      <w:r w:rsidRPr="006A62D4">
        <w:rPr>
          <w:sz w:val="20"/>
          <w:lang w:val="ro-RO"/>
        </w:rPr>
        <w:t xml:space="preserve">, la G. Mantzarides, </w:t>
      </w:r>
      <w:r w:rsidRPr="006A62D4">
        <w:rPr>
          <w:i/>
          <w:sz w:val="20"/>
          <w:lang w:val="ro-RO"/>
        </w:rPr>
        <w:t xml:space="preserve">op. cit., </w:t>
      </w:r>
      <w:r w:rsidRPr="006A62D4">
        <w:rPr>
          <w:sz w:val="20"/>
          <w:lang w:val="ro-RO"/>
        </w:rPr>
        <w:t>p. 96.</w:t>
      </w:r>
    </w:p>
  </w:footnote>
  <w:footnote w:id="10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Hilarion </w:t>
      </w:r>
      <w:r w:rsidRPr="006A62D4">
        <w:rPr>
          <w:sz w:val="20"/>
          <w:lang w:val="ro-RO"/>
        </w:rPr>
        <w:t>Alfeyev,</w:t>
      </w:r>
      <w:r w:rsidRPr="006A62D4">
        <w:rPr>
          <w:i/>
          <w:sz w:val="20"/>
          <w:lang w:val="ro-RO"/>
        </w:rPr>
        <w:t xml:space="preserve"> </w:t>
      </w:r>
      <w:r w:rsidRPr="00E37065">
        <w:rPr>
          <w:sz w:val="20"/>
          <w:lang w:val="ro-RO"/>
        </w:rPr>
        <w:t>„</w:t>
      </w:r>
      <w:r w:rsidRPr="006A62D4">
        <w:rPr>
          <w:sz w:val="20"/>
          <w:lang w:val="ro-RO"/>
        </w:rPr>
        <w:t>The Patristic Background of St. Symeon the New Theologian’s Doctrine of the Divine Light”,</w:t>
      </w:r>
      <w:r w:rsidRPr="006A62D4">
        <w:rPr>
          <w:i/>
          <w:sz w:val="20"/>
          <w:lang w:val="ro-RO"/>
        </w:rPr>
        <w:t xml:space="preserve"> </w:t>
      </w:r>
      <w:r w:rsidRPr="004B6E89">
        <w:rPr>
          <w:i/>
          <w:sz w:val="20"/>
          <w:lang w:val="ro-RO"/>
        </w:rPr>
        <w:t>Studia Patristica</w:t>
      </w:r>
      <w:r w:rsidRPr="006A62D4">
        <w:rPr>
          <w:sz w:val="20"/>
          <w:lang w:val="ro-RO"/>
        </w:rPr>
        <w:t>, vol. XXXII, Ed. E. Livingstone, Peeters, Leuven, 1997, p. 229 - deoarece este o abordare foarte aprofundată a temei se vor reda anumite pasaje în continuare.</w:t>
      </w:r>
    </w:p>
  </w:footnote>
  <w:footnote w:id="104">
    <w:p w:rsidR="004D40C5" w:rsidRPr="006A62D4" w:rsidRDefault="004D40C5" w:rsidP="004D40C5">
      <w:pPr>
        <w:pStyle w:val="FootnoteText"/>
        <w:ind w:left="-567" w:right="-709"/>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Termenul </w:t>
      </w:r>
      <w:r w:rsidRPr="006A62D4">
        <w:rPr>
          <w:i/>
          <w:sz w:val="20"/>
          <w:lang w:val="ro-RO"/>
        </w:rPr>
        <w:t>phos,</w:t>
      </w:r>
      <w:r w:rsidRPr="006A62D4">
        <w:rPr>
          <w:sz w:val="20"/>
          <w:lang w:val="ro-RO"/>
        </w:rPr>
        <w:t xml:space="preserve"> verbul </w:t>
      </w:r>
      <w:r w:rsidRPr="006A62D4">
        <w:rPr>
          <w:i/>
          <w:sz w:val="20"/>
          <w:lang w:val="ro-RO"/>
        </w:rPr>
        <w:t>orao</w:t>
      </w:r>
      <w:r w:rsidRPr="006A62D4">
        <w:rPr>
          <w:sz w:val="20"/>
          <w:lang w:val="ro-RO"/>
        </w:rPr>
        <w:t>, ca şi alţi termeni corelativi temei vederii lui Dumnezeu (</w:t>
      </w:r>
      <w:r w:rsidRPr="006A62D4">
        <w:rPr>
          <w:i/>
          <w:sz w:val="20"/>
          <w:lang w:val="ro-RO"/>
        </w:rPr>
        <w:t xml:space="preserve">photizo, photismos, ellampo, ellampsis, thea, theaomai, orasis, </w:t>
      </w:r>
      <w:r w:rsidRPr="006A62D4">
        <w:rPr>
          <w:sz w:val="20"/>
          <w:lang w:val="ro-RO"/>
        </w:rPr>
        <w:t>ş.a.) sunt folosiţi mult de Sfântu Simeon. Aşa cum observa K. Krumbacher, aceşti termeni sunt caracteristici literaturii studite, v.</w:t>
      </w:r>
      <w:r w:rsidRPr="006A62D4">
        <w:rPr>
          <w:i/>
          <w:sz w:val="20"/>
          <w:lang w:val="ro-RO"/>
        </w:rPr>
        <w:t xml:space="preserve"> Geschichte der byzantinischen Litteratur, </w:t>
      </w:r>
      <w:r w:rsidRPr="006A62D4">
        <w:rPr>
          <w:sz w:val="20"/>
          <w:lang w:val="ro-RO"/>
        </w:rPr>
        <w:t>Munchen, 1897, 677 (nota 4). Chiar dacă se are în vedere fondul tradiţional al acestei terminologii, totuşi Sfântul Simeon o foloseşte foarte mult; la H. Alfeyev,</w:t>
      </w:r>
      <w:r w:rsidRPr="006A62D4">
        <w:rPr>
          <w:i/>
          <w:sz w:val="20"/>
          <w:lang w:val="ro-RO"/>
        </w:rPr>
        <w:t xml:space="preserve"> op. cit</w:t>
      </w:r>
      <w:r w:rsidRPr="006A62D4">
        <w:rPr>
          <w:sz w:val="20"/>
          <w:lang w:val="ro-RO"/>
        </w:rPr>
        <w:t xml:space="preserve">., p. 229. </w:t>
      </w:r>
    </w:p>
  </w:footnote>
  <w:footnote w:id="10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Antirr.</w:t>
      </w:r>
      <w:r w:rsidRPr="006A62D4">
        <w:rPr>
          <w:sz w:val="20"/>
          <w:lang w:val="ro-RO"/>
        </w:rPr>
        <w:t xml:space="preserve"> VI, 16 (525), în: W. Frankenberg, </w:t>
      </w:r>
      <w:r w:rsidRPr="006A62D4">
        <w:rPr>
          <w:i/>
          <w:sz w:val="20"/>
          <w:lang w:val="ro-RO"/>
        </w:rPr>
        <w:t xml:space="preserve">Evagrius Pontikos, </w:t>
      </w:r>
      <w:r w:rsidRPr="006A62D4">
        <w:rPr>
          <w:sz w:val="20"/>
          <w:lang w:val="ro-RO"/>
        </w:rPr>
        <w:t>Berlin, 1912.</w:t>
      </w:r>
    </w:p>
  </w:footnote>
  <w:footnote w:id="10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Pr>
          <w:sz w:val="20"/>
        </w:rPr>
        <w:t>„</w:t>
      </w:r>
      <w:r w:rsidRPr="00E37065">
        <w:rPr>
          <w:sz w:val="20"/>
          <w:lang w:val="ro-RO"/>
        </w:rPr>
        <w:t>De diversis malignis cogitationibus</w:t>
      </w:r>
      <w:r>
        <w:rPr>
          <w:sz w:val="20"/>
          <w:lang w:val="ro-RO"/>
        </w:rPr>
        <w:t>”</w:t>
      </w:r>
      <w:r w:rsidRPr="00E37065">
        <w:rPr>
          <w:sz w:val="20"/>
          <w:lang w:val="ro-RO"/>
        </w:rPr>
        <w:t>,</w:t>
      </w:r>
      <w:r w:rsidRPr="006A62D4">
        <w:rPr>
          <w:sz w:val="20"/>
          <w:lang w:val="ro-RO"/>
        </w:rPr>
        <w:t xml:space="preserve"> în: J. Muyldermans, </w:t>
      </w:r>
      <w:r w:rsidRPr="006A62D4">
        <w:rPr>
          <w:i/>
          <w:sz w:val="20"/>
          <w:lang w:val="ro-RO"/>
        </w:rPr>
        <w:t xml:space="preserve">A travers la tradition manuscrite d’Evagre la Pontique, </w:t>
      </w:r>
      <w:r w:rsidRPr="006A62D4">
        <w:rPr>
          <w:sz w:val="20"/>
          <w:lang w:val="ro-RO"/>
        </w:rPr>
        <w:t xml:space="preserve">Bibliotheque du Museon 3, Louvain, 1932, 47-55, la H. Alfeyev, </w:t>
      </w:r>
      <w:r w:rsidRPr="006A62D4">
        <w:rPr>
          <w:i/>
          <w:sz w:val="20"/>
          <w:lang w:val="ro-RO"/>
        </w:rPr>
        <w:t xml:space="preserve">op. cit., </w:t>
      </w:r>
      <w:r w:rsidRPr="006A62D4">
        <w:rPr>
          <w:sz w:val="20"/>
          <w:lang w:val="ro-RO"/>
        </w:rPr>
        <w:t>p. 230.</w:t>
      </w:r>
    </w:p>
  </w:footnote>
  <w:footnote w:id="10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Gnost.,</w:t>
      </w:r>
      <w:r w:rsidRPr="006A62D4">
        <w:rPr>
          <w:sz w:val="20"/>
          <w:lang w:val="ro-RO"/>
        </w:rPr>
        <w:t xml:space="preserve">1, </w:t>
      </w:r>
      <w:r w:rsidRPr="006A62D4">
        <w:rPr>
          <w:sz w:val="20"/>
          <w:lang w:val="ro-RO"/>
        </w:rPr>
        <w:t>35 (33), ed. A. şi C. Guillaumont, S.C. 356, 1989.</w:t>
      </w:r>
    </w:p>
  </w:footnote>
  <w:footnote w:id="10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45 (178).</w:t>
      </w:r>
    </w:p>
  </w:footnote>
  <w:footnote w:id="10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H. </w:t>
      </w:r>
      <w:r w:rsidRPr="006A62D4">
        <w:rPr>
          <w:sz w:val="20"/>
          <w:lang w:val="ro-RO"/>
        </w:rPr>
        <w:t xml:space="preserve">Alfeyev, </w:t>
      </w:r>
      <w:r w:rsidRPr="006A62D4">
        <w:rPr>
          <w:i/>
          <w:sz w:val="20"/>
          <w:lang w:val="ro-RO"/>
        </w:rPr>
        <w:t>op. cit</w:t>
      </w:r>
      <w:r w:rsidRPr="006A62D4">
        <w:rPr>
          <w:sz w:val="20"/>
          <w:lang w:val="ro-RO"/>
        </w:rPr>
        <w:t>., p. 231.</w:t>
      </w:r>
    </w:p>
  </w:footnote>
  <w:footnote w:id="11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proofErr w:type="gramStart"/>
      <w:r>
        <w:rPr>
          <w:sz w:val="20"/>
        </w:rPr>
        <w:t>„</w:t>
      </w:r>
      <w:r w:rsidRPr="00E37065">
        <w:rPr>
          <w:sz w:val="20"/>
          <w:lang w:val="ro-RO"/>
        </w:rPr>
        <w:t>Hom.</w:t>
      </w:r>
      <w:r>
        <w:rPr>
          <w:sz w:val="20"/>
          <w:lang w:val="ro-RO"/>
        </w:rPr>
        <w:t>”</w:t>
      </w:r>
      <w:proofErr w:type="gramEnd"/>
      <w:r w:rsidRPr="006A62D4">
        <w:rPr>
          <w:sz w:val="20"/>
          <w:lang w:val="ro-RO"/>
        </w:rPr>
        <w:t xml:space="preserve"> 4, 11 (36).</w:t>
      </w:r>
    </w:p>
  </w:footnote>
  <w:footnote w:id="11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Maxim Mărturisitorul, </w:t>
      </w:r>
      <w:r>
        <w:rPr>
          <w:sz w:val="20"/>
          <w:lang w:val="ro-RO"/>
        </w:rPr>
        <w:t>„</w:t>
      </w:r>
      <w:r w:rsidRPr="00552CBC">
        <w:rPr>
          <w:sz w:val="20"/>
          <w:lang w:val="ro-RO"/>
        </w:rPr>
        <w:t>Cele patru sute capete despre dragoste</w:t>
      </w:r>
      <w:r>
        <w:rPr>
          <w:sz w:val="20"/>
          <w:lang w:val="ro-RO"/>
        </w:rPr>
        <w:t>”</w:t>
      </w:r>
      <w:r w:rsidRPr="00552CBC">
        <w:rPr>
          <w:sz w:val="20"/>
          <w:lang w:val="ro-RO"/>
        </w:rPr>
        <w:t>,</w:t>
      </w:r>
      <w:r w:rsidRPr="006A62D4">
        <w:rPr>
          <w:i/>
          <w:sz w:val="20"/>
          <w:lang w:val="ro-RO"/>
        </w:rPr>
        <w:t xml:space="preserve"> </w:t>
      </w:r>
      <w:r w:rsidRPr="006A62D4">
        <w:rPr>
          <w:sz w:val="20"/>
          <w:lang w:val="ro-RO"/>
        </w:rPr>
        <w:t xml:space="preserve">1, 10, </w:t>
      </w:r>
      <w:r w:rsidRPr="006A62D4">
        <w:rPr>
          <w:i/>
          <w:sz w:val="20"/>
          <w:lang w:val="ro-RO"/>
        </w:rPr>
        <w:t>op. cit</w:t>
      </w:r>
      <w:r w:rsidRPr="006A62D4">
        <w:rPr>
          <w:sz w:val="20"/>
          <w:lang w:val="ro-RO"/>
        </w:rPr>
        <w:t>., p. 38.</w:t>
      </w:r>
    </w:p>
  </w:footnote>
  <w:footnote w:id="11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Pr>
          <w:sz w:val="20"/>
          <w:lang w:val="ro-RO"/>
        </w:rPr>
        <w:t>„</w:t>
      </w:r>
      <w:r w:rsidRPr="00552CBC">
        <w:rPr>
          <w:sz w:val="20"/>
          <w:lang w:val="ro-RO"/>
        </w:rPr>
        <w:t>Questiones et dubia</w:t>
      </w:r>
      <w:r>
        <w:rPr>
          <w:sz w:val="20"/>
          <w:lang w:val="ro-RO"/>
        </w:rPr>
        <w:t>”</w:t>
      </w:r>
      <w:r w:rsidRPr="00552CBC">
        <w:rPr>
          <w:sz w:val="20"/>
          <w:lang w:val="ro-RO"/>
        </w:rPr>
        <w:t>,</w:t>
      </w:r>
      <w:r w:rsidRPr="006A62D4">
        <w:rPr>
          <w:sz w:val="20"/>
          <w:lang w:val="ro-RO"/>
        </w:rPr>
        <w:t xml:space="preserve"> 80, pp. 68-70.</w:t>
      </w:r>
    </w:p>
  </w:footnote>
  <w:footnote w:id="11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Simeon Noul Teolog, </w:t>
      </w:r>
      <w:r>
        <w:rPr>
          <w:sz w:val="20"/>
          <w:lang w:val="ro-RO"/>
        </w:rPr>
        <w:t>„</w:t>
      </w:r>
      <w:r w:rsidRPr="00552CBC">
        <w:rPr>
          <w:sz w:val="20"/>
          <w:lang w:val="ro-RO"/>
        </w:rPr>
        <w:t>Imn</w:t>
      </w:r>
      <w:r>
        <w:rPr>
          <w:sz w:val="20"/>
          <w:lang w:val="ro-RO"/>
        </w:rPr>
        <w:t>”</w:t>
      </w:r>
      <w:r w:rsidRPr="006A62D4">
        <w:rPr>
          <w:sz w:val="20"/>
          <w:lang w:val="ro-RO"/>
        </w:rPr>
        <w:t xml:space="preserve"> 38, 64; 13, 4142.</w:t>
      </w:r>
    </w:p>
  </w:footnote>
  <w:footnote w:id="11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Pr>
          <w:sz w:val="20"/>
          <w:lang w:val="ro-RO"/>
        </w:rPr>
        <w:t>„</w:t>
      </w:r>
      <w:r w:rsidRPr="00552CBC">
        <w:rPr>
          <w:sz w:val="20"/>
          <w:lang w:val="ro-RO"/>
        </w:rPr>
        <w:t>Imn</w:t>
      </w:r>
      <w:r>
        <w:rPr>
          <w:sz w:val="20"/>
          <w:lang w:val="ro-RO"/>
        </w:rPr>
        <w:t>”</w:t>
      </w:r>
      <w:r w:rsidRPr="006A62D4">
        <w:rPr>
          <w:i/>
          <w:sz w:val="20"/>
          <w:lang w:val="ro-RO"/>
        </w:rPr>
        <w:t xml:space="preserve"> </w:t>
      </w:r>
      <w:r w:rsidRPr="006A62D4">
        <w:rPr>
          <w:sz w:val="20"/>
          <w:lang w:val="ro-RO"/>
        </w:rPr>
        <w:t>45,6; t.r., p. 622.</w:t>
      </w:r>
    </w:p>
  </w:footnote>
  <w:footnote w:id="11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Pr>
          <w:sz w:val="20"/>
        </w:rPr>
        <w:t>„</w:t>
      </w:r>
      <w:r w:rsidRPr="00552CBC">
        <w:rPr>
          <w:sz w:val="20"/>
          <w:lang w:val="ro-RO"/>
        </w:rPr>
        <w:t>Etic.</w:t>
      </w:r>
      <w:proofErr w:type="gramStart"/>
      <w:r>
        <w:rPr>
          <w:sz w:val="20"/>
          <w:lang w:val="ro-RO"/>
        </w:rPr>
        <w:t>”</w:t>
      </w:r>
      <w:r w:rsidRPr="00552CBC">
        <w:rPr>
          <w:sz w:val="20"/>
          <w:lang w:val="ro-RO"/>
        </w:rPr>
        <w:t>,</w:t>
      </w:r>
      <w:proofErr w:type="gramEnd"/>
      <w:r w:rsidRPr="006A62D4">
        <w:rPr>
          <w:sz w:val="20"/>
          <w:lang w:val="ro-RO"/>
        </w:rPr>
        <w:t xml:space="preserve"> 11,174-177, trad. cit., p. 356.</w:t>
      </w:r>
    </w:p>
  </w:footnote>
  <w:footnote w:id="116">
    <w:p w:rsidR="004D40C5" w:rsidRPr="006A62D4" w:rsidRDefault="004D40C5" w:rsidP="004D40C5">
      <w:pPr>
        <w:pStyle w:val="FootnoteText"/>
        <w:ind w:left="-567" w:right="-709"/>
        <w:jc w:val="both"/>
        <w:rPr>
          <w:sz w:val="20"/>
          <w:lang w:val="ro-RO"/>
        </w:rPr>
      </w:pPr>
      <w:r w:rsidRPr="006A62D4">
        <w:rPr>
          <w:rStyle w:val="FootnoteCharacters"/>
          <w:sz w:val="20"/>
          <w:lang w:val="ro-RO"/>
        </w:rPr>
        <w:footnoteRef/>
      </w:r>
      <w:r w:rsidRPr="006A62D4">
        <w:rPr>
          <w:sz w:val="20"/>
          <w:lang w:val="ro-RO"/>
        </w:rPr>
        <w:t xml:space="preserve"> </w:t>
      </w:r>
      <w:r>
        <w:rPr>
          <w:sz w:val="20"/>
          <w:lang w:val="ro-RO"/>
        </w:rPr>
        <w:t>„</w:t>
      </w:r>
      <w:r w:rsidRPr="00552CBC">
        <w:rPr>
          <w:sz w:val="20"/>
          <w:lang w:val="ro-RO"/>
        </w:rPr>
        <w:t>Imn</w:t>
      </w:r>
      <w:r>
        <w:rPr>
          <w:sz w:val="20"/>
          <w:lang w:val="ro-RO"/>
        </w:rPr>
        <w:t>”</w:t>
      </w:r>
      <w:r w:rsidRPr="00552CBC">
        <w:rPr>
          <w:sz w:val="20"/>
          <w:lang w:val="ro-RO"/>
        </w:rPr>
        <w:t>,</w:t>
      </w:r>
      <w:r w:rsidRPr="006A62D4">
        <w:rPr>
          <w:sz w:val="20"/>
          <w:lang w:val="ro-RO"/>
        </w:rPr>
        <w:t xml:space="preserve"> </w:t>
      </w:r>
      <w:r w:rsidRPr="006A62D4">
        <w:rPr>
          <w:sz w:val="20"/>
          <w:lang w:val="ro-RO"/>
        </w:rPr>
        <w:t xml:space="preserve">12, 19-23. </w:t>
      </w:r>
    </w:p>
  </w:footnote>
  <w:footnote w:id="117">
    <w:p w:rsidR="004D40C5" w:rsidRPr="00552CBC"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552CBC">
        <w:rPr>
          <w:i/>
          <w:sz w:val="20"/>
          <w:lang w:val="ro-RO"/>
        </w:rPr>
        <w:t>Ibidem</w:t>
      </w:r>
      <w:r w:rsidRPr="00552CBC">
        <w:rPr>
          <w:sz w:val="20"/>
          <w:lang w:val="ro-RO"/>
        </w:rPr>
        <w:t xml:space="preserve">, </w:t>
      </w:r>
      <w:r w:rsidRPr="00552CBC">
        <w:rPr>
          <w:sz w:val="20"/>
          <w:lang w:val="ro-RO"/>
        </w:rPr>
        <w:t>44, 114.</w:t>
      </w:r>
    </w:p>
  </w:footnote>
  <w:footnote w:id="118">
    <w:p w:rsidR="004D40C5" w:rsidRPr="00552CBC" w:rsidRDefault="004D40C5" w:rsidP="004D40C5">
      <w:pPr>
        <w:pStyle w:val="FootnoteText"/>
        <w:ind w:left="-567" w:right="-709"/>
        <w:jc w:val="both"/>
        <w:rPr>
          <w:sz w:val="20"/>
          <w:lang w:val="en-US"/>
        </w:rPr>
      </w:pPr>
      <w:r w:rsidRPr="00552CBC">
        <w:rPr>
          <w:rStyle w:val="FootnoteReference"/>
          <w:sz w:val="20"/>
        </w:rPr>
        <w:footnoteRef/>
      </w:r>
      <w:r w:rsidRPr="00552CBC">
        <w:rPr>
          <w:sz w:val="20"/>
        </w:rPr>
        <w:t xml:space="preserve"> </w:t>
      </w:r>
      <w:r w:rsidRPr="00552CBC">
        <w:rPr>
          <w:i/>
          <w:sz w:val="20"/>
          <w:lang w:val="ro-RO"/>
        </w:rPr>
        <w:t>Ibidem</w:t>
      </w:r>
      <w:r w:rsidRPr="00552CBC">
        <w:rPr>
          <w:sz w:val="20"/>
          <w:lang w:val="ro-RO"/>
        </w:rPr>
        <w:t xml:space="preserve">, </w:t>
      </w:r>
      <w:r w:rsidRPr="00552CBC">
        <w:rPr>
          <w:sz w:val="20"/>
          <w:lang w:val="ro-RO"/>
        </w:rPr>
        <w:t>51,15; 25, 145-151.</w:t>
      </w:r>
    </w:p>
  </w:footnote>
  <w:footnote w:id="11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Vl. </w:t>
      </w:r>
      <w:r w:rsidRPr="006A62D4">
        <w:rPr>
          <w:sz w:val="20"/>
          <w:lang w:val="ro-RO"/>
        </w:rPr>
        <w:t>Lossky,</w:t>
      </w:r>
      <w:r w:rsidRPr="006A62D4">
        <w:rPr>
          <w:i/>
          <w:sz w:val="20"/>
          <w:lang w:val="ro-RO"/>
        </w:rPr>
        <w:t xml:space="preserve"> După chipul</w:t>
      </w:r>
      <w:r w:rsidRPr="006A62D4">
        <w:rPr>
          <w:sz w:val="20"/>
          <w:lang w:val="ro-RO"/>
        </w:rPr>
        <w:t>…, p. 54.</w:t>
      </w:r>
    </w:p>
  </w:footnote>
  <w:footnote w:id="12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Grigorie Palama, </w:t>
      </w:r>
      <w:r w:rsidRPr="006A62D4">
        <w:rPr>
          <w:i/>
          <w:sz w:val="20"/>
          <w:lang w:val="ro-RO"/>
        </w:rPr>
        <w:t>Predică la sărbătoarea intrării în templu a Maicii Domnului,</w:t>
      </w:r>
      <w:r w:rsidRPr="006A62D4">
        <w:rPr>
          <w:sz w:val="20"/>
          <w:lang w:val="ro-RO"/>
        </w:rPr>
        <w:t xml:space="preserve"> Ed. Sophocles 176-177, la Vl. Lossky, </w:t>
      </w:r>
      <w:r w:rsidRPr="006A62D4">
        <w:rPr>
          <w:i/>
          <w:sz w:val="20"/>
          <w:lang w:val="ro-RO"/>
        </w:rPr>
        <w:t>op. cit</w:t>
      </w:r>
      <w:r w:rsidRPr="006A62D4">
        <w:rPr>
          <w:sz w:val="20"/>
          <w:lang w:val="ro-RO"/>
        </w:rPr>
        <w:t>.</w:t>
      </w:r>
    </w:p>
  </w:footnote>
  <w:footnote w:id="12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Simeon Noul Teolog, </w:t>
      </w:r>
      <w:r w:rsidRPr="006A62D4">
        <w:rPr>
          <w:i/>
          <w:sz w:val="20"/>
          <w:lang w:val="ro-RO"/>
        </w:rPr>
        <w:t>Imn</w:t>
      </w:r>
      <w:r w:rsidRPr="006A62D4">
        <w:rPr>
          <w:sz w:val="20"/>
          <w:lang w:val="ro-RO"/>
        </w:rPr>
        <w:t xml:space="preserve"> 50, 238-240, t.r. cit., p. 652.</w:t>
      </w:r>
    </w:p>
  </w:footnote>
  <w:footnote w:id="12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 </w:t>
      </w:r>
      <w:r w:rsidRPr="006A62D4">
        <w:rPr>
          <w:sz w:val="20"/>
          <w:lang w:val="ro-RO"/>
        </w:rPr>
        <w:t>„Calea spre lumina dumnezeiască la Sfântul Grigorie Palama”</w:t>
      </w:r>
      <w:r w:rsidRPr="006A62D4">
        <w:rPr>
          <w:i/>
          <w:sz w:val="20"/>
          <w:lang w:val="ro-RO"/>
        </w:rPr>
        <w:t xml:space="preserve">, </w:t>
      </w:r>
      <w:r w:rsidRPr="006A62D4">
        <w:rPr>
          <w:sz w:val="20"/>
          <w:lang w:val="ro-RO"/>
        </w:rPr>
        <w:t xml:space="preserve">în: „Academia Teologică „Andreiană” Ortodoxă Română din Sibiu, </w:t>
      </w:r>
      <w:r w:rsidRPr="006A62D4">
        <w:rPr>
          <w:i/>
          <w:sz w:val="20"/>
          <w:lang w:val="ro-RO"/>
        </w:rPr>
        <w:t>Anuarul</w:t>
      </w:r>
      <w:r w:rsidRPr="006A62D4">
        <w:rPr>
          <w:sz w:val="20"/>
          <w:lang w:val="ro-RO"/>
        </w:rPr>
        <w:t>, VI, (1929-1930), p. 59.</w:t>
      </w:r>
    </w:p>
  </w:footnote>
  <w:footnote w:id="12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P.C. </w:t>
      </w:r>
      <w:r w:rsidRPr="006A62D4">
        <w:rPr>
          <w:sz w:val="20"/>
          <w:lang w:val="ro-RO"/>
        </w:rPr>
        <w:t xml:space="preserve">Christou, „Double knowledge according to Grigory Palamas”, </w:t>
      </w:r>
      <w:r w:rsidRPr="006A62D4">
        <w:rPr>
          <w:i/>
          <w:sz w:val="20"/>
          <w:lang w:val="ro-RO"/>
        </w:rPr>
        <w:t>Studia Patristica,</w:t>
      </w:r>
      <w:r w:rsidRPr="006A62D4">
        <w:rPr>
          <w:sz w:val="20"/>
          <w:lang w:val="ro-RO"/>
        </w:rPr>
        <w:t xml:space="preserve"> vol. IX, partea a III-a, Berlin, 1966, T.U. 94, pp. 20-29.</w:t>
      </w:r>
    </w:p>
  </w:footnote>
  <w:footnote w:id="12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p. 20.</w:t>
      </w:r>
    </w:p>
  </w:footnote>
  <w:footnote w:id="12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Varlaam, </w:t>
      </w:r>
      <w:r>
        <w:rPr>
          <w:sz w:val="20"/>
          <w:lang w:val="ro-RO"/>
        </w:rPr>
        <w:t>„</w:t>
      </w:r>
      <w:r w:rsidRPr="00552CBC">
        <w:rPr>
          <w:sz w:val="20"/>
          <w:lang w:val="ro-RO"/>
        </w:rPr>
        <w:t>Defensio Hesychastarum</w:t>
      </w:r>
      <w:r>
        <w:rPr>
          <w:sz w:val="20"/>
          <w:lang w:val="ro-RO"/>
        </w:rPr>
        <w:t>”</w:t>
      </w:r>
      <w:r w:rsidRPr="006A62D4">
        <w:rPr>
          <w:sz w:val="20"/>
          <w:lang w:val="ro-RO"/>
        </w:rPr>
        <w:t xml:space="preserve">, 2, 1, 4, la P. Christou, </w:t>
      </w:r>
      <w:r w:rsidRPr="006A62D4">
        <w:rPr>
          <w:i/>
          <w:sz w:val="20"/>
          <w:lang w:val="ro-RO"/>
        </w:rPr>
        <w:t>op. cit</w:t>
      </w:r>
      <w:r w:rsidRPr="006A62D4">
        <w:rPr>
          <w:sz w:val="20"/>
          <w:lang w:val="ro-RO"/>
        </w:rPr>
        <w:t>., p. 21.</w:t>
      </w:r>
    </w:p>
  </w:footnote>
  <w:footnote w:id="126">
    <w:p w:rsidR="004D40C5" w:rsidRPr="006A62D4" w:rsidRDefault="004D40C5" w:rsidP="004D40C5">
      <w:pPr>
        <w:pStyle w:val="FootnoteText"/>
        <w:ind w:left="-567" w:right="-709"/>
        <w:jc w:val="both"/>
        <w:rPr>
          <w:sz w:val="20"/>
          <w:lang w:val="ro-RO"/>
        </w:rPr>
      </w:pPr>
      <w:r w:rsidRPr="006A62D4">
        <w:rPr>
          <w:rStyle w:val="FootnoteReference"/>
          <w:sz w:val="20"/>
        </w:rPr>
        <w:footnoteRef/>
      </w:r>
      <w:r w:rsidRPr="006A62D4">
        <w:rPr>
          <w:sz w:val="20"/>
        </w:rPr>
        <w:t xml:space="preserve"> </w:t>
      </w:r>
      <w:r w:rsidRPr="006A62D4">
        <w:rPr>
          <w:i/>
          <w:sz w:val="20"/>
          <w:lang w:val="ro-RO"/>
        </w:rPr>
        <w:t xml:space="preserve">Ibidem, </w:t>
      </w:r>
      <w:r w:rsidRPr="006A62D4">
        <w:rPr>
          <w:sz w:val="20"/>
          <w:lang w:val="ro-RO"/>
        </w:rPr>
        <w:t xml:space="preserve">2, 1, 5. </w:t>
      </w:r>
    </w:p>
  </w:footnote>
  <w:footnote w:id="12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Cu </w:t>
      </w:r>
      <w:r w:rsidRPr="006A62D4">
        <w:rPr>
          <w:sz w:val="20"/>
          <w:lang w:val="ro-RO"/>
        </w:rPr>
        <w:t xml:space="preserve">siguranţă această distincţie nu era un fenomen unic atunci. Averroiştii din Vest au fost acuzaţi şi condamnaţi în 1277 deoarece, printre alte învăţături, susţineau că lucrurile pot fi adevărate în conformitate cu filosofia şi eronate potrivit credinţei catolice, ca şi cum ar fi existat două adevăruri contradictorii - P. Mandonnet, </w:t>
      </w:r>
      <w:r w:rsidRPr="006A62D4">
        <w:rPr>
          <w:i/>
          <w:sz w:val="20"/>
          <w:lang w:val="ro-RO"/>
        </w:rPr>
        <w:t>Siger de Brabant et l’averroisme latin au XIIIe s., 2eme ed.,</w:t>
      </w:r>
      <w:r w:rsidRPr="006A62D4">
        <w:rPr>
          <w:sz w:val="20"/>
          <w:lang w:val="ro-RO"/>
        </w:rPr>
        <w:t xml:space="preserve"> Louvain, 1911, V. II, 175. Există o controversă în legătură cu poziţia la care au ajuns averroişti, şi în special Siger de Brabant, în distincţia pe care au făcut-o între cele două înţelepciuni şi adevăruri. Dar este evident că ei au avut o clară predilecţie pentru o astfel de distincţie care a apărut din nou în filosofia lui Ockham - </w:t>
      </w:r>
      <w:r w:rsidRPr="006A62D4">
        <w:rPr>
          <w:i/>
          <w:sz w:val="20"/>
          <w:lang w:val="ro-RO"/>
        </w:rPr>
        <w:t>Sent.</w:t>
      </w:r>
      <w:r w:rsidRPr="006A62D4">
        <w:rPr>
          <w:sz w:val="20"/>
          <w:lang w:val="ro-RO"/>
        </w:rPr>
        <w:t xml:space="preserve"> I, prol. ed. P. Bohner, 13-15, la P. Christou, </w:t>
      </w:r>
      <w:r w:rsidRPr="006A62D4">
        <w:rPr>
          <w:i/>
          <w:sz w:val="20"/>
          <w:lang w:val="ro-RO"/>
        </w:rPr>
        <w:t>op. cit.,</w:t>
      </w:r>
      <w:r w:rsidRPr="006A62D4">
        <w:rPr>
          <w:sz w:val="20"/>
          <w:lang w:val="ro-RO"/>
        </w:rPr>
        <w:t xml:space="preserve"> p. 22.</w:t>
      </w:r>
    </w:p>
  </w:footnote>
  <w:footnote w:id="128">
    <w:p w:rsidR="004D40C5" w:rsidRPr="006A62D4" w:rsidRDefault="004D40C5" w:rsidP="004D40C5">
      <w:pPr>
        <w:pStyle w:val="FootnoteText"/>
        <w:ind w:left="-567" w:right="-709"/>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Clement </w:t>
      </w:r>
      <w:r w:rsidRPr="006A62D4">
        <w:rPr>
          <w:sz w:val="20"/>
          <w:lang w:val="ro-RO"/>
        </w:rPr>
        <w:t xml:space="preserve">al Alexandriei, </w:t>
      </w:r>
      <w:r>
        <w:rPr>
          <w:sz w:val="20"/>
          <w:lang w:val="ro-RO"/>
        </w:rPr>
        <w:t>„</w:t>
      </w:r>
      <w:r w:rsidRPr="00E3718F">
        <w:rPr>
          <w:sz w:val="20"/>
          <w:lang w:val="ro-RO"/>
        </w:rPr>
        <w:t>Stromata</w:t>
      </w:r>
      <w:r>
        <w:rPr>
          <w:sz w:val="20"/>
          <w:lang w:val="ro-RO"/>
        </w:rPr>
        <w:t>”</w:t>
      </w:r>
      <w:r w:rsidRPr="00E3718F">
        <w:rPr>
          <w:sz w:val="20"/>
          <w:lang w:val="ro-RO"/>
        </w:rPr>
        <w:t xml:space="preserve"> </w:t>
      </w:r>
      <w:r w:rsidRPr="006A62D4">
        <w:rPr>
          <w:sz w:val="20"/>
          <w:lang w:val="ro-RO"/>
        </w:rPr>
        <w:t xml:space="preserve">6, 17, la P. Christou, </w:t>
      </w:r>
      <w:r w:rsidRPr="006A62D4">
        <w:rPr>
          <w:i/>
          <w:sz w:val="20"/>
          <w:lang w:val="ro-RO"/>
        </w:rPr>
        <w:t>op. cit.,</w:t>
      </w:r>
      <w:r w:rsidRPr="006A62D4">
        <w:rPr>
          <w:sz w:val="20"/>
          <w:lang w:val="ro-RO"/>
        </w:rPr>
        <w:t xml:space="preserve"> p. 23. </w:t>
      </w:r>
    </w:p>
  </w:footnote>
  <w:footnote w:id="12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 xml:space="preserve">, </w:t>
      </w:r>
      <w:r w:rsidRPr="006A62D4">
        <w:rPr>
          <w:sz w:val="20"/>
          <w:lang w:val="ro-RO"/>
        </w:rPr>
        <w:t>1, 5.</w:t>
      </w:r>
    </w:p>
  </w:footnote>
  <w:footnote w:id="13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Diadoh al Photiceei, </w:t>
      </w:r>
      <w:r>
        <w:rPr>
          <w:sz w:val="20"/>
          <w:lang w:val="ro-RO"/>
        </w:rPr>
        <w:t>„</w:t>
      </w:r>
      <w:r w:rsidRPr="00E3718F">
        <w:rPr>
          <w:sz w:val="20"/>
          <w:lang w:val="ro-RO"/>
        </w:rPr>
        <w:t>Capita</w:t>
      </w:r>
      <w:r>
        <w:rPr>
          <w:sz w:val="20"/>
          <w:lang w:val="ro-RO"/>
        </w:rPr>
        <w:t>”</w:t>
      </w:r>
      <w:r w:rsidRPr="00E3718F">
        <w:rPr>
          <w:sz w:val="20"/>
          <w:lang w:val="ro-RO"/>
        </w:rPr>
        <w:t xml:space="preserve"> </w:t>
      </w:r>
      <w:r w:rsidRPr="006A62D4">
        <w:rPr>
          <w:sz w:val="20"/>
          <w:lang w:val="ro-RO"/>
        </w:rPr>
        <w:t>88, ed. E. de Places, pp. 148, 17.</w:t>
      </w:r>
    </w:p>
  </w:footnote>
  <w:footnote w:id="13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Vasile cel Mare, </w:t>
      </w:r>
      <w:r>
        <w:rPr>
          <w:sz w:val="20"/>
          <w:lang w:val="ro-RO"/>
        </w:rPr>
        <w:t>„</w:t>
      </w:r>
      <w:r w:rsidRPr="00E3718F">
        <w:rPr>
          <w:sz w:val="20"/>
          <w:lang w:val="ro-RO"/>
        </w:rPr>
        <w:t>In Psalmos</w:t>
      </w:r>
      <w:r>
        <w:rPr>
          <w:sz w:val="20"/>
          <w:lang w:val="ro-RO"/>
        </w:rPr>
        <w:t>”</w:t>
      </w:r>
      <w:r w:rsidRPr="006A62D4">
        <w:rPr>
          <w:sz w:val="20"/>
          <w:lang w:val="ro-RO"/>
        </w:rPr>
        <w:t xml:space="preserve">, 14, </w:t>
      </w:r>
      <w:r w:rsidRPr="006A62D4">
        <w:rPr>
          <w:i/>
          <w:sz w:val="20"/>
          <w:lang w:val="ro-RO"/>
        </w:rPr>
        <w:t>P.G.</w:t>
      </w:r>
      <w:r w:rsidRPr="006A62D4">
        <w:rPr>
          <w:sz w:val="20"/>
          <w:lang w:val="ro-RO"/>
        </w:rPr>
        <w:t xml:space="preserve"> 29, 256, la P. Christou, </w:t>
      </w:r>
      <w:r w:rsidRPr="006A62D4">
        <w:rPr>
          <w:i/>
          <w:sz w:val="20"/>
          <w:lang w:val="ro-RO"/>
        </w:rPr>
        <w:t>op. cit</w:t>
      </w:r>
      <w:r w:rsidRPr="006A62D4">
        <w:rPr>
          <w:sz w:val="20"/>
          <w:lang w:val="ro-RO"/>
        </w:rPr>
        <w:t>., p. 23.</w:t>
      </w:r>
    </w:p>
  </w:footnote>
  <w:footnote w:id="13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Idem, </w:t>
      </w:r>
      <w:r>
        <w:rPr>
          <w:sz w:val="20"/>
          <w:lang w:val="ro-RO"/>
        </w:rPr>
        <w:t>„</w:t>
      </w:r>
      <w:r w:rsidRPr="00E3718F">
        <w:rPr>
          <w:sz w:val="20"/>
          <w:lang w:val="ro-RO"/>
        </w:rPr>
        <w:t>Ad juniores</w:t>
      </w:r>
      <w:r>
        <w:rPr>
          <w:sz w:val="20"/>
          <w:lang w:val="ro-RO"/>
        </w:rPr>
        <w:t>”</w:t>
      </w:r>
      <w:r w:rsidRPr="006A62D4">
        <w:rPr>
          <w:i/>
          <w:sz w:val="20"/>
          <w:lang w:val="ro-RO"/>
        </w:rPr>
        <w:t>,</w:t>
      </w:r>
      <w:r w:rsidRPr="006A62D4">
        <w:rPr>
          <w:sz w:val="20"/>
          <w:lang w:val="ro-RO"/>
        </w:rPr>
        <w:t xml:space="preserve"> 2, la P. Christou, </w:t>
      </w:r>
      <w:r w:rsidRPr="006A62D4">
        <w:rPr>
          <w:i/>
          <w:sz w:val="20"/>
          <w:lang w:val="ro-RO"/>
        </w:rPr>
        <w:t>op. cit.</w:t>
      </w:r>
      <w:r w:rsidRPr="006A62D4">
        <w:rPr>
          <w:sz w:val="20"/>
          <w:lang w:val="ro-RO"/>
        </w:rPr>
        <w:t>, p. 23.</w:t>
      </w:r>
    </w:p>
  </w:footnote>
  <w:footnote w:id="133">
    <w:p w:rsidR="004D40C5" w:rsidRPr="006A62D4" w:rsidRDefault="004D40C5" w:rsidP="004D40C5">
      <w:pPr>
        <w:pStyle w:val="FootnoteText"/>
        <w:ind w:left="-567" w:right="-709"/>
        <w:jc w:val="both"/>
        <w:rPr>
          <w:sz w:val="20"/>
          <w:lang w:val="ro-RO"/>
        </w:rPr>
      </w:pPr>
      <w:r w:rsidRPr="006A62D4">
        <w:rPr>
          <w:rStyle w:val="FootnoteReference"/>
          <w:sz w:val="20"/>
        </w:rPr>
        <w:footnoteRef/>
      </w:r>
      <w:r w:rsidRPr="006A62D4">
        <w:rPr>
          <w:sz w:val="20"/>
        </w:rPr>
        <w:t xml:space="preserve"> </w:t>
      </w:r>
      <w:r w:rsidRPr="006A62D4">
        <w:rPr>
          <w:sz w:val="20"/>
          <w:lang w:val="ro-RO"/>
        </w:rPr>
        <w:t xml:space="preserve">Teoria </w:t>
      </w:r>
      <w:r w:rsidRPr="006A62D4">
        <w:rPr>
          <w:sz w:val="20"/>
          <w:lang w:val="ro-RO"/>
        </w:rPr>
        <w:t>despre o</w:t>
      </w:r>
      <w:r w:rsidRPr="006A62D4">
        <w:rPr>
          <w:i/>
          <w:sz w:val="20"/>
          <w:lang w:val="ro-RO"/>
        </w:rPr>
        <w:t xml:space="preserve"> cale dublă a cunoaşterii</w:t>
      </w:r>
      <w:r w:rsidRPr="006A62D4">
        <w:rPr>
          <w:sz w:val="20"/>
          <w:lang w:val="ro-RO"/>
        </w:rPr>
        <w:t xml:space="preserve"> merge înapoi în timp până la Platon şi Aristotel. Împărţind cele patru puteri ale cunoaşterii, senzaţia, ştiinţa, intelectul şi opinia, în două grupe, Aristotel susţinea că facultăţile aparţinând primului grup asigură cunoaşterea demonstrabilă, senzaţia prin obiecte sensibile, ştiinţa prin premisele primare; în timp ce acelea aparţinând celui de al doilea grup procură cunoaşterea îndoielnică şi nedemonstrabilă. De fapt, cele patru facultăţi pot fi reduse la două: cea a ştiinţei şi cea a opiniei. În ambele cazuri este implicată o funcţie confirmatorie, credinţa, care potrivit lui Aristotel este conştiinţa certitudinii adevărului cunoaşterii. Clement Alexandrinul va reproduce teoria dublei cunoaşteri şi dublei credinţe.- v. </w:t>
      </w:r>
      <w:r w:rsidRPr="006A62D4">
        <w:rPr>
          <w:i/>
          <w:sz w:val="20"/>
          <w:lang w:val="ro-RO"/>
        </w:rPr>
        <w:t xml:space="preserve">Stromata </w:t>
      </w:r>
      <w:r w:rsidRPr="006A62D4">
        <w:rPr>
          <w:sz w:val="20"/>
          <w:lang w:val="ro-RO"/>
        </w:rPr>
        <w:t xml:space="preserve">2, 17. El afirmă că demonstraţia teoretică este omenească, în timp ce demonstraţia ştiinţifică îşi primeşte suportul prin citarea Sfintei Scripturi. „credinţa este o cunoaştere concisă a ceea ce este indispensabil, în timp ce cunoaşterea în sine este o demonstraţie puternică şi sigură a ceea ce se primise prin credinţă”, </w:t>
      </w:r>
      <w:r w:rsidRPr="006A62D4">
        <w:rPr>
          <w:i/>
          <w:sz w:val="20"/>
          <w:lang w:val="ro-RO"/>
        </w:rPr>
        <w:t>Ibidem,</w:t>
      </w:r>
      <w:r w:rsidRPr="006A62D4">
        <w:rPr>
          <w:sz w:val="20"/>
          <w:lang w:val="ro-RO"/>
        </w:rPr>
        <w:t xml:space="preserve"> 7, 10. Sf. Maxim Mărturisitorul va exprima ideea dublei cunoaşteri folosind o terminologie deosebită, adoptată la context: raţiune şi simţire spirituală (</w:t>
      </w:r>
      <w:r>
        <w:rPr>
          <w:sz w:val="20"/>
          <w:lang w:val="ro-RO"/>
        </w:rPr>
        <w:t>„</w:t>
      </w:r>
      <w:r w:rsidRPr="00E3718F">
        <w:rPr>
          <w:sz w:val="20"/>
          <w:lang w:val="ro-RO"/>
        </w:rPr>
        <w:t>Capita varia</w:t>
      </w:r>
      <w:r>
        <w:rPr>
          <w:sz w:val="20"/>
          <w:lang w:val="ro-RO"/>
        </w:rPr>
        <w:t>”</w:t>
      </w:r>
      <w:r w:rsidRPr="006A62D4">
        <w:rPr>
          <w:i/>
          <w:sz w:val="20"/>
          <w:lang w:val="ro-RO"/>
        </w:rPr>
        <w:t>,</w:t>
      </w:r>
      <w:r w:rsidRPr="006A62D4">
        <w:rPr>
          <w:sz w:val="20"/>
          <w:lang w:val="ro-RO"/>
        </w:rPr>
        <w:t xml:space="preserve"> 4, 31); cunoaştere habituală şi operativă (</w:t>
      </w:r>
      <w:r w:rsidRPr="006A62D4">
        <w:rPr>
          <w:i/>
          <w:sz w:val="20"/>
          <w:lang w:val="ro-RO"/>
        </w:rPr>
        <w:t>Ibidem,</w:t>
      </w:r>
      <w:r w:rsidRPr="006A62D4">
        <w:rPr>
          <w:sz w:val="20"/>
          <w:lang w:val="ro-RO"/>
        </w:rPr>
        <w:t xml:space="preserve"> pp. 4, 29); cunoaştere relativă şi adevărată (</w:t>
      </w:r>
      <w:r>
        <w:rPr>
          <w:sz w:val="20"/>
          <w:lang w:val="ro-RO"/>
        </w:rPr>
        <w:t>„</w:t>
      </w:r>
      <w:r w:rsidRPr="00E3718F">
        <w:rPr>
          <w:sz w:val="20"/>
          <w:lang w:val="ro-RO"/>
        </w:rPr>
        <w:t>Capita theologica</w:t>
      </w:r>
      <w:r>
        <w:rPr>
          <w:sz w:val="20"/>
          <w:lang w:val="ro-RO"/>
        </w:rPr>
        <w:t>”</w:t>
      </w:r>
      <w:r w:rsidRPr="00E3718F">
        <w:rPr>
          <w:sz w:val="20"/>
          <w:lang w:val="ro-RO"/>
        </w:rPr>
        <w:t>,</w:t>
      </w:r>
      <w:r>
        <w:rPr>
          <w:i/>
          <w:sz w:val="20"/>
          <w:lang w:val="ro-RO"/>
        </w:rPr>
        <w:t xml:space="preserve"> </w:t>
      </w:r>
      <w:r w:rsidRPr="006A62D4">
        <w:rPr>
          <w:sz w:val="20"/>
          <w:lang w:val="ro-RO"/>
        </w:rPr>
        <w:t>1, 22). Primele sunt intelectuale şi ajută la aranjarea lucrurilor în lumea aceasta; celelalte sunt active şi ştiinţifice şi asigură îndumnezeirea în veacul viitor (</w:t>
      </w:r>
      <w:r>
        <w:rPr>
          <w:sz w:val="20"/>
          <w:lang w:val="ro-RO"/>
        </w:rPr>
        <w:t>„</w:t>
      </w:r>
      <w:r w:rsidRPr="00E3718F">
        <w:rPr>
          <w:sz w:val="20"/>
          <w:lang w:val="ro-RO"/>
        </w:rPr>
        <w:t>Capita varia</w:t>
      </w:r>
      <w:r>
        <w:rPr>
          <w:sz w:val="20"/>
          <w:lang w:val="ro-RO"/>
        </w:rPr>
        <w:t>”</w:t>
      </w:r>
      <w:r w:rsidRPr="006A62D4">
        <w:rPr>
          <w:i/>
          <w:sz w:val="20"/>
          <w:lang w:val="ro-RO"/>
        </w:rPr>
        <w:t>,</w:t>
      </w:r>
      <w:r w:rsidRPr="006A62D4">
        <w:rPr>
          <w:sz w:val="20"/>
          <w:lang w:val="ro-RO"/>
        </w:rPr>
        <w:t xml:space="preserve"> 4, 29), la P. Christou, </w:t>
      </w:r>
      <w:r w:rsidRPr="006A62D4">
        <w:rPr>
          <w:i/>
          <w:sz w:val="20"/>
          <w:lang w:val="ro-RO"/>
        </w:rPr>
        <w:t>op. cit</w:t>
      </w:r>
      <w:r w:rsidRPr="006A62D4">
        <w:rPr>
          <w:sz w:val="20"/>
          <w:lang w:val="ro-RO"/>
        </w:rPr>
        <w:t xml:space="preserve">., pp. 25, 26. </w:t>
      </w:r>
    </w:p>
  </w:footnote>
  <w:footnote w:id="134">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A </w:t>
      </w:r>
      <w:r w:rsidRPr="006A62D4">
        <w:rPr>
          <w:sz w:val="20"/>
          <w:lang w:val="ro-RO"/>
        </w:rPr>
        <w:t xml:space="preserve">se vedea nota explic. 279, </w:t>
      </w:r>
      <w:r w:rsidRPr="006A62D4">
        <w:rPr>
          <w:i/>
          <w:sz w:val="20"/>
          <w:lang w:val="ro-RO"/>
        </w:rPr>
        <w:t>supra.</w:t>
      </w:r>
    </w:p>
  </w:footnote>
  <w:footnote w:id="135">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Sf. Grgorie Palama,</w:t>
      </w:r>
      <w:r w:rsidRPr="006A62D4">
        <w:rPr>
          <w:i/>
          <w:sz w:val="20"/>
          <w:lang w:val="ro-RO"/>
        </w:rPr>
        <w:t xml:space="preserve"> </w:t>
      </w:r>
      <w:r>
        <w:rPr>
          <w:sz w:val="20"/>
          <w:lang w:val="ro-RO"/>
        </w:rPr>
        <w:t>„</w:t>
      </w:r>
      <w:r w:rsidRPr="00E3718F">
        <w:rPr>
          <w:sz w:val="20"/>
          <w:lang w:val="ro-RO"/>
        </w:rPr>
        <w:t>Epistola I ad Barlaaam</w:t>
      </w:r>
      <w:r>
        <w:rPr>
          <w:sz w:val="20"/>
          <w:lang w:val="ro-RO"/>
        </w:rPr>
        <w:t>”</w:t>
      </w:r>
      <w:r w:rsidRPr="00E3718F">
        <w:rPr>
          <w:sz w:val="20"/>
          <w:lang w:val="ro-RO"/>
        </w:rPr>
        <w:t>,</w:t>
      </w:r>
      <w:r w:rsidRPr="006A62D4">
        <w:rPr>
          <w:sz w:val="20"/>
          <w:lang w:val="ro-RO"/>
        </w:rPr>
        <w:t xml:space="preserve"> 33.</w:t>
      </w:r>
    </w:p>
  </w:footnote>
  <w:footnote w:id="136">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G. </w:t>
      </w:r>
      <w:r w:rsidRPr="006A62D4">
        <w:rPr>
          <w:sz w:val="20"/>
          <w:lang w:val="ro-RO"/>
        </w:rPr>
        <w:t>Mantzarides,</w:t>
      </w:r>
      <w:r w:rsidRPr="006A62D4">
        <w:rPr>
          <w:i/>
          <w:sz w:val="20"/>
          <w:lang w:val="ro-RO"/>
        </w:rPr>
        <w:t xml:space="preserve"> op. cit</w:t>
      </w:r>
      <w:r w:rsidRPr="006A62D4">
        <w:rPr>
          <w:sz w:val="20"/>
          <w:lang w:val="ro-RO"/>
        </w:rPr>
        <w:t>., p. 97.</w:t>
      </w:r>
    </w:p>
  </w:footnote>
  <w:footnote w:id="137">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Grigorie Palama, </w:t>
      </w:r>
      <w:r>
        <w:rPr>
          <w:sz w:val="20"/>
          <w:lang w:val="ro-RO"/>
        </w:rPr>
        <w:t>„</w:t>
      </w:r>
      <w:r w:rsidRPr="00E3718F">
        <w:rPr>
          <w:sz w:val="20"/>
          <w:lang w:val="ro-RO"/>
        </w:rPr>
        <w:t>Răspuns lui Akindinos</w:t>
      </w:r>
      <w:r>
        <w:rPr>
          <w:sz w:val="20"/>
          <w:lang w:val="ro-RO"/>
        </w:rPr>
        <w:t>”</w:t>
      </w:r>
      <w:r w:rsidRPr="006A62D4">
        <w:rPr>
          <w:sz w:val="20"/>
          <w:lang w:val="ro-RO"/>
        </w:rPr>
        <w:t xml:space="preserve"> 3, 2, 3, la G. Mantzarides, </w:t>
      </w:r>
      <w:r w:rsidRPr="006A62D4">
        <w:rPr>
          <w:i/>
          <w:sz w:val="20"/>
          <w:lang w:val="ro-RO"/>
        </w:rPr>
        <w:t>op. cit</w:t>
      </w:r>
      <w:r w:rsidRPr="006A62D4">
        <w:rPr>
          <w:sz w:val="20"/>
          <w:lang w:val="ro-RO"/>
        </w:rPr>
        <w:t>., p. 100.</w:t>
      </w:r>
    </w:p>
  </w:footnote>
  <w:footnote w:id="138">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i/>
          <w:sz w:val="20"/>
          <w:lang w:val="ro-RO"/>
        </w:rPr>
        <w:t>Ibidem</w:t>
      </w:r>
      <w:r w:rsidRPr="006A62D4">
        <w:rPr>
          <w:sz w:val="20"/>
          <w:lang w:val="ro-RO"/>
        </w:rPr>
        <w:t>.</w:t>
      </w:r>
    </w:p>
  </w:footnote>
  <w:footnote w:id="139">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Prof. Dr. Dumitru Stăniloae, </w:t>
      </w:r>
      <w:r w:rsidRPr="006A62D4">
        <w:rPr>
          <w:i/>
          <w:sz w:val="20"/>
          <w:lang w:val="ro-RO"/>
        </w:rPr>
        <w:t>Ascetica şi Mistica ortodoxă</w:t>
      </w:r>
      <w:r w:rsidRPr="006A62D4">
        <w:rPr>
          <w:sz w:val="20"/>
          <w:lang w:val="ro-RO"/>
        </w:rPr>
        <w:t xml:space="preserve">, vol. II, Ed. Deisis, Alba Iulia, 1993, pp. 168-169, cf. Sf. Grigorie Palama, </w:t>
      </w:r>
      <w:r w:rsidRPr="006A62D4">
        <w:rPr>
          <w:i/>
          <w:sz w:val="20"/>
          <w:lang w:val="ro-RO"/>
        </w:rPr>
        <w:t>Tratatul al treilea din triada întâi contra lui Varlaam,</w:t>
      </w:r>
      <w:r w:rsidRPr="006A62D4">
        <w:rPr>
          <w:sz w:val="20"/>
          <w:lang w:val="ro-RO"/>
        </w:rPr>
        <w:t xml:space="preserve"> trad. de Pr. Prof. Dr. Dumitru Stăniloae în: </w:t>
      </w:r>
      <w:r w:rsidRPr="006A62D4">
        <w:rPr>
          <w:i/>
          <w:sz w:val="20"/>
          <w:lang w:val="ro-RO"/>
        </w:rPr>
        <w:t>Viaţa şi învăţătura Sfântului Grigorie Palama - cu patru tratate traduse,</w:t>
      </w:r>
      <w:r w:rsidRPr="006A62D4">
        <w:rPr>
          <w:sz w:val="20"/>
          <w:lang w:val="ro-RO"/>
        </w:rPr>
        <w:t xml:space="preserve"> ed. a doua, Ed. Scripta, Bucureşti, 1993, p. 196.</w:t>
      </w:r>
    </w:p>
  </w:footnote>
  <w:footnote w:id="140">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 xml:space="preserve">Grigorie Palama, </w:t>
      </w:r>
      <w:r w:rsidRPr="006A62D4">
        <w:rPr>
          <w:i/>
          <w:sz w:val="20"/>
          <w:lang w:val="ro-RO"/>
        </w:rPr>
        <w:t>op. cit</w:t>
      </w:r>
      <w:r w:rsidRPr="006A62D4">
        <w:rPr>
          <w:sz w:val="20"/>
          <w:lang w:val="ro-RO"/>
        </w:rPr>
        <w:t>., pp. 197-198.</w:t>
      </w:r>
    </w:p>
  </w:footnote>
  <w:footnote w:id="141">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Pr. </w:t>
      </w:r>
      <w:r w:rsidRPr="006A62D4">
        <w:rPr>
          <w:sz w:val="20"/>
          <w:lang w:val="ro-RO"/>
        </w:rPr>
        <w:t xml:space="preserve">Prof. Dr. Dumitru Stăniloae, </w:t>
      </w:r>
      <w:r w:rsidRPr="006A62D4">
        <w:rPr>
          <w:i/>
          <w:sz w:val="20"/>
          <w:lang w:val="ro-RO"/>
        </w:rPr>
        <w:t>Ascetica şi mistica…</w:t>
      </w:r>
      <w:r w:rsidRPr="006A62D4">
        <w:rPr>
          <w:sz w:val="20"/>
          <w:lang w:val="ro-RO"/>
        </w:rPr>
        <w:t>, p. 169.</w:t>
      </w:r>
    </w:p>
  </w:footnote>
  <w:footnote w:id="142">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În </w:t>
      </w:r>
      <w:r w:rsidRPr="006A62D4">
        <w:rPr>
          <w:sz w:val="20"/>
          <w:lang w:val="ro-RO"/>
        </w:rPr>
        <w:t>nota la această expresie, Arhiepiscopul Basile Krivocheine scrie: „Se poate observa caracterul antinomic al expresiilor Sfântului Simeon care preia dar nuanţează insistenţa avvei Evagrie Ponticul pe absenţa de forme, figuri şi imagini ale lui Dumnezeu în experienţa unirii minţii cu Dumnezeu: Dumnezeu este fără formă şi fără o figură, dar totuşi se arată limpede, conştient şi clar într-o anumită formă fără formă în care intră într-o relaţie de iubire caldă şi de prietenie afectuoasă cu sufletul contemplativ (</w:t>
      </w:r>
      <w:r>
        <w:rPr>
          <w:sz w:val="20"/>
          <w:lang w:val="ro-RO"/>
        </w:rPr>
        <w:t>„</w:t>
      </w:r>
      <w:r w:rsidRPr="00E3718F">
        <w:rPr>
          <w:sz w:val="20"/>
          <w:lang w:val="ro-RO"/>
        </w:rPr>
        <w:t>SC</w:t>
      </w:r>
      <w:r>
        <w:rPr>
          <w:sz w:val="20"/>
          <w:lang w:val="ro-RO"/>
        </w:rPr>
        <w:t>”</w:t>
      </w:r>
      <w:r w:rsidRPr="006A62D4">
        <w:rPr>
          <w:i/>
          <w:sz w:val="20"/>
          <w:lang w:val="ro-RO"/>
        </w:rPr>
        <w:t xml:space="preserve"> </w:t>
      </w:r>
      <w:r w:rsidRPr="006A62D4">
        <w:rPr>
          <w:sz w:val="20"/>
          <w:lang w:val="ro-RO"/>
        </w:rPr>
        <w:t>113, pp. 322-323).</w:t>
      </w:r>
    </w:p>
  </w:footnote>
  <w:footnote w:id="143">
    <w:p w:rsidR="004D40C5" w:rsidRPr="006A62D4" w:rsidRDefault="004D40C5" w:rsidP="004D40C5">
      <w:pPr>
        <w:pStyle w:val="FootnoteText"/>
        <w:ind w:left="-567" w:right="-709"/>
        <w:jc w:val="both"/>
        <w:rPr>
          <w:sz w:val="20"/>
          <w:lang w:val="en-US"/>
        </w:rPr>
      </w:pPr>
      <w:r w:rsidRPr="006A62D4">
        <w:rPr>
          <w:rStyle w:val="FootnoteReference"/>
          <w:sz w:val="20"/>
        </w:rPr>
        <w:footnoteRef/>
      </w:r>
      <w:r w:rsidRPr="006A62D4">
        <w:rPr>
          <w:sz w:val="20"/>
        </w:rPr>
        <w:t xml:space="preserve"> </w:t>
      </w:r>
      <w:r w:rsidRPr="006A62D4">
        <w:rPr>
          <w:sz w:val="20"/>
          <w:lang w:val="ro-RO"/>
        </w:rPr>
        <w:t xml:space="preserve">Sf. </w:t>
      </w:r>
      <w:r w:rsidRPr="006A62D4">
        <w:rPr>
          <w:sz w:val="20"/>
          <w:lang w:val="ro-RO"/>
        </w:rPr>
        <w:t>Simeon Noul Teolog,</w:t>
      </w:r>
      <w:r w:rsidRPr="006A62D4">
        <w:rPr>
          <w:i/>
          <w:sz w:val="20"/>
          <w:lang w:val="ro-RO"/>
        </w:rPr>
        <w:t xml:space="preserve"> </w:t>
      </w:r>
      <w:r w:rsidRPr="00E3718F">
        <w:rPr>
          <w:sz w:val="20"/>
          <w:lang w:val="ro-RO"/>
        </w:rPr>
        <w:t>„Cateheze</w:t>
      </w:r>
      <w:r>
        <w:rPr>
          <w:sz w:val="20"/>
          <w:lang w:val="ro-RO"/>
        </w:rPr>
        <w:t>”</w:t>
      </w:r>
      <w:r w:rsidRPr="00E3718F">
        <w:rPr>
          <w:sz w:val="20"/>
          <w:lang w:val="ro-RO"/>
        </w:rPr>
        <w:t>,</w:t>
      </w:r>
      <w:r w:rsidRPr="006A62D4">
        <w:rPr>
          <w:sz w:val="20"/>
          <w:lang w:val="ro-RO"/>
        </w:rPr>
        <w:t xml:space="preserve"> 35 </w:t>
      </w:r>
      <w:r w:rsidRPr="006A62D4">
        <w:rPr>
          <w:i/>
          <w:sz w:val="20"/>
          <w:lang w:val="ro-RO"/>
        </w:rPr>
        <w:t xml:space="preserve">SC </w:t>
      </w:r>
      <w:r w:rsidRPr="006A62D4">
        <w:rPr>
          <w:sz w:val="20"/>
          <w:lang w:val="ro-RO"/>
        </w:rPr>
        <w:t xml:space="preserve">113, cf. t.r. Ioan I. Ică jr., în: </w:t>
      </w:r>
      <w:r w:rsidRPr="006A62D4">
        <w:rPr>
          <w:i/>
          <w:sz w:val="20"/>
          <w:lang w:val="ro-RO"/>
        </w:rPr>
        <w:t>Cateheze, Scrieri, II,</w:t>
      </w:r>
      <w:r w:rsidRPr="006A62D4">
        <w:rPr>
          <w:sz w:val="20"/>
          <w:lang w:val="ro-RO"/>
        </w:rPr>
        <w:t xml:space="preserve"> Ed. Deisis, Sibiu, 1999, pp. 365-366.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40C5"/>
    <w:rsid w:val="0034512C"/>
    <w:rsid w:val="004D40C5"/>
    <w:rsid w:val="005078DF"/>
    <w:rsid w:val="008433B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0C5"/>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4D40C5"/>
    <w:pPr>
      <w:keepNext/>
      <w:numPr>
        <w:numId w:val="1"/>
      </w:numPr>
      <w:jc w:val="center"/>
      <w:outlineLvl w:val="0"/>
    </w:pPr>
    <w:rPr>
      <w:rFonts w:cs="Times New Roman"/>
      <w:b/>
      <w:bCs/>
      <w:lang w:val="fr-FR"/>
    </w:rPr>
  </w:style>
  <w:style w:type="paragraph" w:styleId="Heading2">
    <w:name w:val="heading 2"/>
    <w:basedOn w:val="Normal"/>
    <w:next w:val="Normal"/>
    <w:link w:val="Heading2Char"/>
    <w:uiPriority w:val="9"/>
    <w:qFormat/>
    <w:rsid w:val="004D40C5"/>
    <w:pPr>
      <w:keepNext/>
      <w:numPr>
        <w:ilvl w:val="1"/>
        <w:numId w:val="1"/>
      </w:numPr>
      <w:shd w:val="clear" w:color="auto" w:fill="FFFFFF"/>
      <w:tabs>
        <w:tab w:val="left" w:pos="274"/>
      </w:tabs>
      <w:spacing w:line="322" w:lineRule="exact"/>
      <w:jc w:val="center"/>
      <w:outlineLvl w:val="1"/>
    </w:pPr>
    <w:rPr>
      <w:rFonts w:cs="Times New Roman"/>
      <w:b/>
      <w:bCs/>
      <w:spacing w:val="-11"/>
      <w:szCs w:val="28"/>
      <w:lang w:val="ro-RO"/>
    </w:rPr>
  </w:style>
  <w:style w:type="paragraph" w:styleId="Heading3">
    <w:name w:val="heading 3"/>
    <w:basedOn w:val="Normal"/>
    <w:next w:val="Normal"/>
    <w:link w:val="Heading3Char"/>
    <w:qFormat/>
    <w:rsid w:val="004D40C5"/>
    <w:pPr>
      <w:keepNext/>
      <w:numPr>
        <w:ilvl w:val="2"/>
        <w:numId w:val="1"/>
      </w:numPr>
      <w:outlineLvl w:val="2"/>
    </w:pPr>
    <w:rPr>
      <w:rFonts w:cs="Times New Roman"/>
      <w:b/>
      <w:bCs/>
      <w:lang w:val="it-IT"/>
    </w:rPr>
  </w:style>
  <w:style w:type="paragraph" w:styleId="Heading4">
    <w:name w:val="heading 4"/>
    <w:basedOn w:val="Normal"/>
    <w:next w:val="Normal"/>
    <w:link w:val="Heading4Char"/>
    <w:qFormat/>
    <w:rsid w:val="004D40C5"/>
    <w:pPr>
      <w:keepNext/>
      <w:numPr>
        <w:ilvl w:val="3"/>
        <w:numId w:val="1"/>
      </w:numPr>
      <w:spacing w:before="240" w:after="60"/>
      <w:outlineLvl w:val="3"/>
    </w:pPr>
    <w:rPr>
      <w:rFonts w:cs="Times New Roman"/>
      <w:b/>
      <w:bCs/>
      <w:sz w:val="28"/>
      <w:szCs w:val="28"/>
      <w:lang w:val="ro-RO"/>
    </w:rPr>
  </w:style>
  <w:style w:type="paragraph" w:styleId="Heading5">
    <w:name w:val="heading 5"/>
    <w:basedOn w:val="Normal"/>
    <w:next w:val="Normal"/>
    <w:link w:val="Heading5Char"/>
    <w:qFormat/>
    <w:rsid w:val="004D40C5"/>
    <w:pPr>
      <w:numPr>
        <w:ilvl w:val="4"/>
        <w:numId w:val="1"/>
      </w:numPr>
      <w:spacing w:before="240" w:after="60"/>
      <w:outlineLvl w:val="4"/>
    </w:pPr>
    <w:rPr>
      <w:rFonts w:cs="Times New Roman"/>
      <w:b/>
      <w:bCs/>
      <w:i/>
      <w:i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D40C5"/>
    <w:rPr>
      <w:rFonts w:ascii="Times New Roman" w:eastAsia="Times New Roman" w:hAnsi="Times New Roman" w:cs="Times New Roman"/>
      <w:b/>
      <w:bCs/>
      <w:sz w:val="24"/>
      <w:szCs w:val="24"/>
      <w:lang w:val="fr-FR" w:eastAsia="ar-SA"/>
    </w:rPr>
  </w:style>
  <w:style w:type="character" w:customStyle="1" w:styleId="Heading2Char">
    <w:name w:val="Heading 2 Char"/>
    <w:basedOn w:val="DefaultParagraphFont"/>
    <w:link w:val="Heading2"/>
    <w:uiPriority w:val="9"/>
    <w:rsid w:val="004D40C5"/>
    <w:rPr>
      <w:rFonts w:ascii="Times New Roman" w:eastAsia="Times New Roman" w:hAnsi="Times New Roman" w:cs="Times New Roman"/>
      <w:b/>
      <w:bCs/>
      <w:spacing w:val="-11"/>
      <w:sz w:val="24"/>
      <w:szCs w:val="28"/>
      <w:shd w:val="clear" w:color="auto" w:fill="FFFFFF"/>
      <w:lang w:eastAsia="ar-SA"/>
    </w:rPr>
  </w:style>
  <w:style w:type="character" w:customStyle="1" w:styleId="Heading3Char">
    <w:name w:val="Heading 3 Char"/>
    <w:basedOn w:val="DefaultParagraphFont"/>
    <w:link w:val="Heading3"/>
    <w:rsid w:val="004D40C5"/>
    <w:rPr>
      <w:rFonts w:ascii="Times New Roman" w:eastAsia="Times New Roman" w:hAnsi="Times New Roman" w:cs="Times New Roman"/>
      <w:b/>
      <w:bCs/>
      <w:sz w:val="24"/>
      <w:szCs w:val="24"/>
      <w:lang w:val="it-IT" w:eastAsia="ar-SA"/>
    </w:rPr>
  </w:style>
  <w:style w:type="character" w:customStyle="1" w:styleId="Heading4Char">
    <w:name w:val="Heading 4 Char"/>
    <w:basedOn w:val="DefaultParagraphFont"/>
    <w:link w:val="Heading4"/>
    <w:rsid w:val="004D40C5"/>
    <w:rPr>
      <w:rFonts w:ascii="Times New Roman" w:eastAsia="Times New Roman" w:hAnsi="Times New Roman" w:cs="Times New Roman"/>
      <w:b/>
      <w:bCs/>
      <w:sz w:val="28"/>
      <w:szCs w:val="28"/>
      <w:lang w:eastAsia="ar-SA"/>
    </w:rPr>
  </w:style>
  <w:style w:type="character" w:customStyle="1" w:styleId="Heading5Char">
    <w:name w:val="Heading 5 Char"/>
    <w:basedOn w:val="DefaultParagraphFont"/>
    <w:link w:val="Heading5"/>
    <w:rsid w:val="004D40C5"/>
    <w:rPr>
      <w:rFonts w:ascii="Times New Roman" w:eastAsia="Times New Roman" w:hAnsi="Times New Roman" w:cs="Times New Roman"/>
      <w:b/>
      <w:bCs/>
      <w:i/>
      <w:iCs/>
      <w:sz w:val="26"/>
      <w:szCs w:val="26"/>
      <w:lang w:val="x-none" w:eastAsia="ar-SA"/>
    </w:rPr>
  </w:style>
  <w:style w:type="character" w:customStyle="1" w:styleId="FootnoteCharacters">
    <w:name w:val="Footnote Characters"/>
    <w:rsid w:val="004D40C5"/>
    <w:rPr>
      <w:vertAlign w:val="superscript"/>
    </w:rPr>
  </w:style>
  <w:style w:type="character" w:styleId="FootnoteReference">
    <w:name w:val="footnote reference"/>
    <w:rsid w:val="004D40C5"/>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1"/>
    <w:rsid w:val="004D40C5"/>
    <w:rPr>
      <w:rFonts w:cs="Times New Roman"/>
      <w:szCs w:val="20"/>
      <w:lang w:val="en-GB"/>
    </w:rPr>
  </w:style>
  <w:style w:type="character" w:customStyle="1" w:styleId="FootnoteTextChar">
    <w:name w:val="Footnote Text Char"/>
    <w:basedOn w:val="DefaultParagraphFont"/>
    <w:uiPriority w:val="99"/>
    <w:semiHidden/>
    <w:rsid w:val="004D40C5"/>
    <w:rPr>
      <w:rFonts w:ascii="Times New Roman" w:eastAsia="Times New Roman" w:hAnsi="Times New Roman" w:cs="Calibri"/>
      <w:sz w:val="20"/>
      <w:szCs w:val="20"/>
      <w:lang w:val="de-CH" w:eastAsia="ar-SA"/>
    </w:rPr>
  </w:style>
  <w:style w:type="character" w:customStyle="1" w:styleId="FootnoteTextChar1">
    <w:name w:val="Footnote Text Char1"/>
    <w:aliases w:val="Note de bas de page Car Car Char1,Note de bas de page Car Caracter Char1,Note de bas de page Car Caracter Caracter Char1,Note de bas de page Car Char1"/>
    <w:basedOn w:val="DefaultParagraphFont"/>
    <w:link w:val="FootnoteText"/>
    <w:rsid w:val="004D40C5"/>
    <w:rPr>
      <w:rFonts w:ascii="Times New Roman" w:eastAsia="Times New Roman" w:hAnsi="Times New Roman" w:cs="Times New Roman"/>
      <w:sz w:val="24"/>
      <w:szCs w:val="20"/>
      <w:lang w:val="en-GB" w:eastAsia="ar-SA"/>
    </w:rPr>
  </w:style>
  <w:style w:type="paragraph" w:styleId="Footer">
    <w:name w:val="footer"/>
    <w:basedOn w:val="Normal"/>
    <w:link w:val="FooterChar1"/>
    <w:uiPriority w:val="99"/>
    <w:rsid w:val="004D40C5"/>
    <w:pPr>
      <w:tabs>
        <w:tab w:val="center" w:pos="4320"/>
        <w:tab w:val="right" w:pos="8640"/>
      </w:tabs>
    </w:pPr>
    <w:rPr>
      <w:rFonts w:cs="Times New Roman"/>
    </w:rPr>
  </w:style>
  <w:style w:type="character" w:customStyle="1" w:styleId="FooterChar">
    <w:name w:val="Footer Char"/>
    <w:basedOn w:val="DefaultParagraphFont"/>
    <w:uiPriority w:val="99"/>
    <w:semiHidden/>
    <w:rsid w:val="004D40C5"/>
    <w:rPr>
      <w:rFonts w:ascii="Times New Roman" w:eastAsia="Times New Roman" w:hAnsi="Times New Roman" w:cs="Calibri"/>
      <w:sz w:val="24"/>
      <w:szCs w:val="24"/>
      <w:lang w:val="de-CH" w:eastAsia="ar-SA"/>
    </w:rPr>
  </w:style>
  <w:style w:type="character" w:customStyle="1" w:styleId="FooterChar1">
    <w:name w:val="Footer Char1"/>
    <w:basedOn w:val="DefaultParagraphFont"/>
    <w:link w:val="Footer"/>
    <w:uiPriority w:val="99"/>
    <w:rsid w:val="004D40C5"/>
    <w:rPr>
      <w:rFonts w:ascii="Times New Roman" w:eastAsia="Times New Roman" w:hAnsi="Times New Roman" w:cs="Times New Roman"/>
      <w:sz w:val="24"/>
      <w:szCs w:val="24"/>
      <w:lang w:val="de-CH" w:eastAsia="ar-SA"/>
    </w:rPr>
  </w:style>
  <w:style w:type="paragraph" w:customStyle="1" w:styleId="Text1">
    <w:name w:val="Text1"/>
    <w:basedOn w:val="Normal"/>
    <w:rsid w:val="004D4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jc w:val="both"/>
    </w:pPr>
    <w:rPr>
      <w:rFonts w:cs="Times New Roman"/>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0C5"/>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4D40C5"/>
    <w:pPr>
      <w:keepNext/>
      <w:numPr>
        <w:numId w:val="1"/>
      </w:numPr>
      <w:jc w:val="center"/>
      <w:outlineLvl w:val="0"/>
    </w:pPr>
    <w:rPr>
      <w:rFonts w:cs="Times New Roman"/>
      <w:b/>
      <w:bCs/>
      <w:lang w:val="fr-FR"/>
    </w:rPr>
  </w:style>
  <w:style w:type="paragraph" w:styleId="Heading2">
    <w:name w:val="heading 2"/>
    <w:basedOn w:val="Normal"/>
    <w:next w:val="Normal"/>
    <w:link w:val="Heading2Char"/>
    <w:uiPriority w:val="9"/>
    <w:qFormat/>
    <w:rsid w:val="004D40C5"/>
    <w:pPr>
      <w:keepNext/>
      <w:numPr>
        <w:ilvl w:val="1"/>
        <w:numId w:val="1"/>
      </w:numPr>
      <w:shd w:val="clear" w:color="auto" w:fill="FFFFFF"/>
      <w:tabs>
        <w:tab w:val="left" w:pos="274"/>
      </w:tabs>
      <w:spacing w:line="322" w:lineRule="exact"/>
      <w:jc w:val="center"/>
      <w:outlineLvl w:val="1"/>
    </w:pPr>
    <w:rPr>
      <w:rFonts w:cs="Times New Roman"/>
      <w:b/>
      <w:bCs/>
      <w:spacing w:val="-11"/>
      <w:szCs w:val="28"/>
      <w:lang w:val="ro-RO"/>
    </w:rPr>
  </w:style>
  <w:style w:type="paragraph" w:styleId="Heading3">
    <w:name w:val="heading 3"/>
    <w:basedOn w:val="Normal"/>
    <w:next w:val="Normal"/>
    <w:link w:val="Heading3Char"/>
    <w:qFormat/>
    <w:rsid w:val="004D40C5"/>
    <w:pPr>
      <w:keepNext/>
      <w:numPr>
        <w:ilvl w:val="2"/>
        <w:numId w:val="1"/>
      </w:numPr>
      <w:outlineLvl w:val="2"/>
    </w:pPr>
    <w:rPr>
      <w:rFonts w:cs="Times New Roman"/>
      <w:b/>
      <w:bCs/>
      <w:lang w:val="it-IT"/>
    </w:rPr>
  </w:style>
  <w:style w:type="paragraph" w:styleId="Heading4">
    <w:name w:val="heading 4"/>
    <w:basedOn w:val="Normal"/>
    <w:next w:val="Normal"/>
    <w:link w:val="Heading4Char"/>
    <w:qFormat/>
    <w:rsid w:val="004D40C5"/>
    <w:pPr>
      <w:keepNext/>
      <w:numPr>
        <w:ilvl w:val="3"/>
        <w:numId w:val="1"/>
      </w:numPr>
      <w:spacing w:before="240" w:after="60"/>
      <w:outlineLvl w:val="3"/>
    </w:pPr>
    <w:rPr>
      <w:rFonts w:cs="Times New Roman"/>
      <w:b/>
      <w:bCs/>
      <w:sz w:val="28"/>
      <w:szCs w:val="28"/>
      <w:lang w:val="ro-RO"/>
    </w:rPr>
  </w:style>
  <w:style w:type="paragraph" w:styleId="Heading5">
    <w:name w:val="heading 5"/>
    <w:basedOn w:val="Normal"/>
    <w:next w:val="Normal"/>
    <w:link w:val="Heading5Char"/>
    <w:qFormat/>
    <w:rsid w:val="004D40C5"/>
    <w:pPr>
      <w:numPr>
        <w:ilvl w:val="4"/>
        <w:numId w:val="1"/>
      </w:numPr>
      <w:spacing w:before="240" w:after="60"/>
      <w:outlineLvl w:val="4"/>
    </w:pPr>
    <w:rPr>
      <w:rFonts w:cs="Times New Roman"/>
      <w:b/>
      <w:bCs/>
      <w:i/>
      <w:iCs/>
      <w:sz w:val="26"/>
      <w:szCs w:val="26"/>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D40C5"/>
    <w:rPr>
      <w:rFonts w:ascii="Times New Roman" w:eastAsia="Times New Roman" w:hAnsi="Times New Roman" w:cs="Times New Roman"/>
      <w:b/>
      <w:bCs/>
      <w:sz w:val="24"/>
      <w:szCs w:val="24"/>
      <w:lang w:val="fr-FR" w:eastAsia="ar-SA"/>
    </w:rPr>
  </w:style>
  <w:style w:type="character" w:customStyle="1" w:styleId="Heading2Char">
    <w:name w:val="Heading 2 Char"/>
    <w:basedOn w:val="DefaultParagraphFont"/>
    <w:link w:val="Heading2"/>
    <w:uiPriority w:val="9"/>
    <w:rsid w:val="004D40C5"/>
    <w:rPr>
      <w:rFonts w:ascii="Times New Roman" w:eastAsia="Times New Roman" w:hAnsi="Times New Roman" w:cs="Times New Roman"/>
      <w:b/>
      <w:bCs/>
      <w:spacing w:val="-11"/>
      <w:sz w:val="24"/>
      <w:szCs w:val="28"/>
      <w:shd w:val="clear" w:color="auto" w:fill="FFFFFF"/>
      <w:lang w:eastAsia="ar-SA"/>
    </w:rPr>
  </w:style>
  <w:style w:type="character" w:customStyle="1" w:styleId="Heading3Char">
    <w:name w:val="Heading 3 Char"/>
    <w:basedOn w:val="DefaultParagraphFont"/>
    <w:link w:val="Heading3"/>
    <w:rsid w:val="004D40C5"/>
    <w:rPr>
      <w:rFonts w:ascii="Times New Roman" w:eastAsia="Times New Roman" w:hAnsi="Times New Roman" w:cs="Times New Roman"/>
      <w:b/>
      <w:bCs/>
      <w:sz w:val="24"/>
      <w:szCs w:val="24"/>
      <w:lang w:val="it-IT" w:eastAsia="ar-SA"/>
    </w:rPr>
  </w:style>
  <w:style w:type="character" w:customStyle="1" w:styleId="Heading4Char">
    <w:name w:val="Heading 4 Char"/>
    <w:basedOn w:val="DefaultParagraphFont"/>
    <w:link w:val="Heading4"/>
    <w:rsid w:val="004D40C5"/>
    <w:rPr>
      <w:rFonts w:ascii="Times New Roman" w:eastAsia="Times New Roman" w:hAnsi="Times New Roman" w:cs="Times New Roman"/>
      <w:b/>
      <w:bCs/>
      <w:sz w:val="28"/>
      <w:szCs w:val="28"/>
      <w:lang w:eastAsia="ar-SA"/>
    </w:rPr>
  </w:style>
  <w:style w:type="character" w:customStyle="1" w:styleId="Heading5Char">
    <w:name w:val="Heading 5 Char"/>
    <w:basedOn w:val="DefaultParagraphFont"/>
    <w:link w:val="Heading5"/>
    <w:rsid w:val="004D40C5"/>
    <w:rPr>
      <w:rFonts w:ascii="Times New Roman" w:eastAsia="Times New Roman" w:hAnsi="Times New Roman" w:cs="Times New Roman"/>
      <w:b/>
      <w:bCs/>
      <w:i/>
      <w:iCs/>
      <w:sz w:val="26"/>
      <w:szCs w:val="26"/>
      <w:lang w:val="x-none" w:eastAsia="ar-SA"/>
    </w:rPr>
  </w:style>
  <w:style w:type="character" w:customStyle="1" w:styleId="FootnoteCharacters">
    <w:name w:val="Footnote Characters"/>
    <w:rsid w:val="004D40C5"/>
    <w:rPr>
      <w:vertAlign w:val="superscript"/>
    </w:rPr>
  </w:style>
  <w:style w:type="character" w:styleId="FootnoteReference">
    <w:name w:val="footnote reference"/>
    <w:rsid w:val="004D40C5"/>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1"/>
    <w:rsid w:val="004D40C5"/>
    <w:rPr>
      <w:rFonts w:cs="Times New Roman"/>
      <w:szCs w:val="20"/>
      <w:lang w:val="en-GB"/>
    </w:rPr>
  </w:style>
  <w:style w:type="character" w:customStyle="1" w:styleId="FootnoteTextChar">
    <w:name w:val="Footnote Text Char"/>
    <w:basedOn w:val="DefaultParagraphFont"/>
    <w:uiPriority w:val="99"/>
    <w:semiHidden/>
    <w:rsid w:val="004D40C5"/>
    <w:rPr>
      <w:rFonts w:ascii="Times New Roman" w:eastAsia="Times New Roman" w:hAnsi="Times New Roman" w:cs="Calibri"/>
      <w:sz w:val="20"/>
      <w:szCs w:val="20"/>
      <w:lang w:val="de-CH" w:eastAsia="ar-SA"/>
    </w:rPr>
  </w:style>
  <w:style w:type="character" w:customStyle="1" w:styleId="FootnoteTextChar1">
    <w:name w:val="Footnote Text Char1"/>
    <w:aliases w:val="Note de bas de page Car Car Char1,Note de bas de page Car Caracter Char1,Note de bas de page Car Caracter Caracter Char1,Note de bas de page Car Char1"/>
    <w:basedOn w:val="DefaultParagraphFont"/>
    <w:link w:val="FootnoteText"/>
    <w:rsid w:val="004D40C5"/>
    <w:rPr>
      <w:rFonts w:ascii="Times New Roman" w:eastAsia="Times New Roman" w:hAnsi="Times New Roman" w:cs="Times New Roman"/>
      <w:sz w:val="24"/>
      <w:szCs w:val="20"/>
      <w:lang w:val="en-GB" w:eastAsia="ar-SA"/>
    </w:rPr>
  </w:style>
  <w:style w:type="paragraph" w:styleId="Footer">
    <w:name w:val="footer"/>
    <w:basedOn w:val="Normal"/>
    <w:link w:val="FooterChar1"/>
    <w:uiPriority w:val="99"/>
    <w:rsid w:val="004D40C5"/>
    <w:pPr>
      <w:tabs>
        <w:tab w:val="center" w:pos="4320"/>
        <w:tab w:val="right" w:pos="8640"/>
      </w:tabs>
    </w:pPr>
    <w:rPr>
      <w:rFonts w:cs="Times New Roman"/>
    </w:rPr>
  </w:style>
  <w:style w:type="character" w:customStyle="1" w:styleId="FooterChar">
    <w:name w:val="Footer Char"/>
    <w:basedOn w:val="DefaultParagraphFont"/>
    <w:uiPriority w:val="99"/>
    <w:semiHidden/>
    <w:rsid w:val="004D40C5"/>
    <w:rPr>
      <w:rFonts w:ascii="Times New Roman" w:eastAsia="Times New Roman" w:hAnsi="Times New Roman" w:cs="Calibri"/>
      <w:sz w:val="24"/>
      <w:szCs w:val="24"/>
      <w:lang w:val="de-CH" w:eastAsia="ar-SA"/>
    </w:rPr>
  </w:style>
  <w:style w:type="character" w:customStyle="1" w:styleId="FooterChar1">
    <w:name w:val="Footer Char1"/>
    <w:basedOn w:val="DefaultParagraphFont"/>
    <w:link w:val="Footer"/>
    <w:uiPriority w:val="99"/>
    <w:rsid w:val="004D40C5"/>
    <w:rPr>
      <w:rFonts w:ascii="Times New Roman" w:eastAsia="Times New Roman" w:hAnsi="Times New Roman" w:cs="Times New Roman"/>
      <w:sz w:val="24"/>
      <w:szCs w:val="24"/>
      <w:lang w:val="de-CH" w:eastAsia="ar-SA"/>
    </w:rPr>
  </w:style>
  <w:style w:type="paragraph" w:customStyle="1" w:styleId="Text1">
    <w:name w:val="Text1"/>
    <w:basedOn w:val="Normal"/>
    <w:rsid w:val="004D4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overflowPunct w:val="0"/>
      <w:autoSpaceDE w:val="0"/>
      <w:jc w:val="both"/>
    </w:pPr>
    <w:rPr>
      <w:rFonts w:cs="Times New Roman"/>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10844</Words>
  <Characters>62897</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2018-10-30T03:06:00Z</dcterms:created>
  <dcterms:modified xsi:type="dcterms:W3CDTF">2018-10-30T03:07:00Z</dcterms:modified>
</cp:coreProperties>
</file>