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738" w:rsidRPr="004E1738" w:rsidRDefault="004E1738" w:rsidP="004E1738">
      <w:pPr>
        <w:pStyle w:val="BodyTextIndent"/>
        <w:tabs>
          <w:tab w:val="left" w:pos="720"/>
        </w:tabs>
        <w:spacing w:line="276" w:lineRule="auto"/>
        <w:ind w:firstLine="0"/>
        <w:rPr>
          <w:spacing w:val="-2"/>
          <w:szCs w:val="24"/>
        </w:rPr>
      </w:pPr>
      <w:r w:rsidRPr="004E1738">
        <w:rPr>
          <w:spacing w:val="-2"/>
          <w:szCs w:val="24"/>
        </w:rPr>
        <w:t>Modul de formare al virtuţilor; esenţa virtuţii şi a stării de virtute</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Izbăvirea sufletului şi a trupului din robia gândurilor rele ce stau la orginea păcatului şi a stării de patimă, se realizează prin virtuţi ca expresie a sinergiei divino-umane, realizată în concepţia Sfântului Diadoh tot în cadrul funcţiei spirituale numită de el “simţirea inimii”: “toate virtuţile le primeşte mintea prin simţire, înaintând potrivit unei măsuri şi ritm negrăit”</w:t>
      </w:r>
      <w:r w:rsidRPr="004E1738">
        <w:rPr>
          <w:rStyle w:val="FootnoteReference"/>
          <w:b w:val="0"/>
          <w:spacing w:val="-2"/>
          <w:sz w:val="24"/>
          <w:szCs w:val="22"/>
        </w:rPr>
        <w:footnoteReference w:id="1"/>
      </w:r>
      <w:r w:rsidRPr="004E1738">
        <w:rPr>
          <w:b w:val="0"/>
          <w:spacing w:val="-2"/>
          <w:sz w:val="24"/>
          <w:szCs w:val="22"/>
        </w:rPr>
        <w:t>. Deci, atât virtuţile sufleteşti, cât şi cele trupeşti au aceeaşi cale inefabilă de formare, prin „simţirea minţii”. Dacă starea de patimă e produsă de dominarea gândurilor rele în minte, starea de virtute e pentru Sfântul Diadoh rod al gândurilor bune izvorâte de minte sub influenţa harului</w:t>
      </w:r>
      <w:r w:rsidRPr="004E1738">
        <w:rPr>
          <w:rStyle w:val="FootnoteReference"/>
          <w:b w:val="0"/>
          <w:spacing w:val="-2"/>
          <w:sz w:val="24"/>
          <w:szCs w:val="22"/>
        </w:rPr>
        <w:footnoteReference w:id="2"/>
      </w:r>
      <w:r w:rsidRPr="004E1738">
        <w:rPr>
          <w:b w:val="0"/>
          <w:spacing w:val="-2"/>
          <w:sz w:val="24"/>
          <w:szCs w:val="22"/>
        </w:rPr>
        <w:t xml:space="preserve">, sau trimise direct de </w:t>
      </w:r>
      <w:smartTag w:uri="urn:schemas-microsoft-com:office:smarttags" w:element="PersonName">
        <w:smartTagPr>
          <w:attr w:name="ProductID" w:val="la Dumnezeu"/>
        </w:smartTagPr>
        <w:r w:rsidRPr="004E1738">
          <w:rPr>
            <w:b w:val="0"/>
            <w:spacing w:val="-2"/>
            <w:sz w:val="24"/>
            <w:szCs w:val="22"/>
          </w:rPr>
          <w:t>la Dumnezeu</w:t>
        </w:r>
      </w:smartTag>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când cugetarea nu e tulburată.</w:t>
      </w:r>
      <w:r w:rsidRPr="004E1738">
        <w:rPr>
          <w:rStyle w:val="FootnoteReference"/>
          <w:b w:val="0"/>
          <w:spacing w:val="-2"/>
          <w:sz w:val="24"/>
          <w:szCs w:val="22"/>
        </w:rPr>
        <w:footnoteReference w:id="3"/>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Cs w:val="0"/>
          <w:i/>
          <w:spacing w:val="-2"/>
          <w:szCs w:val="24"/>
        </w:rPr>
      </w:pPr>
      <w:r w:rsidRPr="004E1738">
        <w:rPr>
          <w:bCs w:val="0"/>
          <w:i/>
          <w:spacing w:val="-2"/>
          <w:szCs w:val="24"/>
        </w:rPr>
        <w:t>Originea naturală a virtuţilor</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Virtutea ţine, aşadar, în primul rând de funcţia raţională a sufletului, în acest fapt putându-se vedea influenţa concepţiilor antice semitice şi filosofice, preluate de Sfântul Diadoh direct din mediul spiritual contemporan lui, precum şi pe filiera inspiraţiei din scrierile gregoriene şi evagriene, iar, în al doilea rând, virtutea ţine de funcţiile irascibilă şi poftitoare ale sufletului exprimate prin funcţia spirituală a „simţirii minţii”, ce îmbină simţirea şi intelectul în actul unificator al cunoaşterii harice. Tocmai această cunoaştere unificatoare, întemeiată în unitatea originară a sufletului şi a puterilor lui, oferă fundamentul concepţiei unitare a Sfântului Diadoh, asupra modului de formare al virtuţilor. Pentru a exprima această concepţie, Sfântul Diadoh face referire la tema platonică a carului sufletului, condus în luptă de raţiunea ce mână cei patru cai ai virtuţilor, impropriată probabil pe filiera evagriană</w:t>
      </w:r>
      <w:r w:rsidRPr="004E1738">
        <w:rPr>
          <w:rStyle w:val="FootnoteReference"/>
          <w:b w:val="0"/>
          <w:spacing w:val="-2"/>
          <w:sz w:val="24"/>
          <w:szCs w:val="22"/>
        </w:rPr>
        <w:footnoteReference w:id="4"/>
      </w:r>
      <w:r w:rsidRPr="004E1738">
        <w:rPr>
          <w:b w:val="0"/>
          <w:spacing w:val="-2"/>
          <w:sz w:val="24"/>
          <w:szCs w:val="22"/>
        </w:rPr>
        <w:t xml:space="preserve">. Virtutea, aşadar, ca energie harică este unică, iar virtuţile felurite formează un tot unitar în frumuseţea veşmântului integru, de lumină, al sufletului.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 xml:space="preserve">Virtutea e în primul rând o abţinere de la rău, o înfrânare, care prin însăşi natura ei păstrează starea de integralitate a minţii. “Înfrânarea este nume de obşte care se adaugă la numele tuturor virtuţilor, iar cel ce se nevoieşte trebuie să se înfrâneze de la toate. Cel ce neglijează chiar şi o singură virtute, strică toată frumuseţea înfrânării, fără să ştie” şi de aceea “se cuvine să ne ostenim nu numai pentru virtuţile trupeşti, ci şi pentru cele ce pot curăţi omul nostru cel </w:t>
      </w:r>
      <w:r w:rsidRPr="004E1738">
        <w:rPr>
          <w:b w:val="0"/>
          <w:spacing w:val="-2"/>
          <w:sz w:val="24"/>
          <w:szCs w:val="22"/>
        </w:rPr>
        <w:lastRenderedPageBreak/>
        <w:t>dinăuntru”.</w:t>
      </w:r>
      <w:r w:rsidRPr="004E1738">
        <w:rPr>
          <w:rStyle w:val="FootnoteReference"/>
          <w:b w:val="0"/>
          <w:spacing w:val="-2"/>
          <w:sz w:val="24"/>
          <w:szCs w:val="22"/>
        </w:rPr>
        <w:footnoteReference w:id="5"/>
      </w:r>
      <w:r w:rsidRPr="004E1738">
        <w:rPr>
          <w:b w:val="0"/>
          <w:spacing w:val="-2"/>
          <w:sz w:val="24"/>
          <w:szCs w:val="22"/>
        </w:rPr>
        <w:t xml:space="preserve"> “Viaţa aceasta trecătoare”, dă de înţeles Sfântul Diadoh, “e capabilă de fapte vrednice pentru a fi numită virtute”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6"/>
      </w:r>
      <w:r w:rsidRPr="004E1738">
        <w:rPr>
          <w:b w:val="0"/>
          <w:spacing w:val="-2"/>
          <w:sz w:val="24"/>
          <w:szCs w:val="22"/>
        </w:rPr>
        <w:t xml:space="preserve"> Aşadar, esenţa virtuţii stă în primul rând în efortul de înfrânare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firii, de adunare a ei din lume şi concentrare a ei pentru a realiza în suflet o stare de îm-puternicire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exprimată de Sfântul Diadoh prin imaginea sufletului nepătimitor dar plin de „simţire a minţii”, ca rezultat al mişcării energiilor harice şi sufleteşti în noua sa stare fortificată de „fortăreaţă a virtuţilor”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sau „cetate a curăţiei”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7"/>
      </w:r>
      <w:r w:rsidRPr="004E1738">
        <w:rPr>
          <w:b w:val="0"/>
          <w:spacing w:val="-2"/>
          <w:sz w:val="24"/>
          <w:szCs w:val="22"/>
        </w:rPr>
        <w:t xml:space="preserve"> Prin această sinergie a harului şi a energiilor firii, sufletul devine loc al cugetării împreună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virtuţilor sau puterilor harului ce-l curăţă, potenţează şi iluminează tot mai mult redându-i transparenţa originară şi „vederea din toate părţile”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8"/>
      </w:r>
      <w:r w:rsidRPr="004E1738">
        <w:rPr>
          <w:b w:val="0"/>
          <w:spacing w:val="-2"/>
          <w:sz w:val="24"/>
          <w:szCs w:val="22"/>
        </w:rPr>
        <w:t>. Prin această cugetare împreună sau frământare în sine a energiilor harice mintea creşte, dezvoltă deplin şi specific virtuţile din seminţele gândurilor bune „semănate de Duhul Sfânt în minte”</w:t>
      </w:r>
      <w:r w:rsidRPr="004E1738">
        <w:rPr>
          <w:rStyle w:val="FootnoteReference"/>
          <w:b w:val="0"/>
          <w:spacing w:val="-2"/>
          <w:sz w:val="24"/>
          <w:szCs w:val="22"/>
        </w:rPr>
        <w:footnoteReference w:id="9"/>
      </w:r>
      <w:r w:rsidRPr="004E1738">
        <w:rPr>
          <w:b w:val="0"/>
          <w:spacing w:val="-2"/>
          <w:sz w:val="24"/>
          <w:szCs w:val="22"/>
        </w:rPr>
        <w:t xml:space="preserve"> în cadrul relaţiei de dialog în rugăciune cu harul. Virtuţile izvorăsc, aşadar, prin “lucrarea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Duhului Sfânt”</w:t>
      </w:r>
      <w:r w:rsidRPr="004E1738">
        <w:rPr>
          <w:rStyle w:val="FootnoteReference"/>
          <w:b w:val="0"/>
          <w:spacing w:val="-2"/>
          <w:sz w:val="24"/>
          <w:szCs w:val="22"/>
        </w:rPr>
        <w:footnoteReference w:id="10"/>
      </w:r>
      <w:r w:rsidRPr="004E1738">
        <w:rPr>
          <w:b w:val="0"/>
          <w:spacing w:val="-2"/>
          <w:sz w:val="24"/>
          <w:szCs w:val="22"/>
        </w:rPr>
        <w:t xml:space="preserve"> din „seminţele rugăciunii, semănate cu lacrimi în pământul inimii”.</w:t>
      </w:r>
      <w:r w:rsidRPr="004E1738">
        <w:rPr>
          <w:rStyle w:val="FootnoteReference"/>
          <w:b w:val="0"/>
          <w:spacing w:val="-2"/>
          <w:sz w:val="24"/>
          <w:szCs w:val="22"/>
        </w:rPr>
        <w:footnoteReference w:id="11"/>
      </w:r>
      <w:r w:rsidRPr="004E1738">
        <w:rPr>
          <w:b w:val="0"/>
          <w:spacing w:val="-2"/>
          <w:sz w:val="24"/>
          <w:szCs w:val="22"/>
        </w:rPr>
        <w:t xml:space="preserve"> Ele sunt în principal expresia integrării şi armonizării tot mai profunde a energiilor sufleteşti reorientate de la ataşarea greşită faţă de lume spre iubirea de Dumnezeu care le şi iniţiază.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Aşadar, pentru Sfântul Diadoh, în primul rând harul este cel ce sădeşte virtuţile în suflet, virtutea având la origine un gând, o raţiune primită prin harul divin în simţirea sufletului, adică atât în simţurile trupului cât şi în simţirea minţii sau a inimii, din care arde şi dezrădăcinează toate amintirile păcătoase. “Inima izvorăşte şi din sine gânduri bune şi rele…”</w:t>
      </w:r>
      <w:r w:rsidRPr="004E1738">
        <w:rPr>
          <w:rStyle w:val="FootnoteReference"/>
          <w:b w:val="0"/>
          <w:spacing w:val="-2"/>
          <w:sz w:val="24"/>
          <w:szCs w:val="22"/>
        </w:rPr>
        <w:footnoteReference w:id="12"/>
      </w:r>
      <w:r w:rsidRPr="004E1738">
        <w:rPr>
          <w:b w:val="0"/>
          <w:spacing w:val="-2"/>
          <w:sz w:val="24"/>
          <w:szCs w:val="22"/>
        </w:rPr>
        <w:t>, însă “harul, luminând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toate simţurile noastre printr-o adâncă simţire, va arde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pe de o parte amintirile noastre (rele), iar pe de alta, îndulcind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inima noastră cu pacea unei prietenii nestăvilite, ne pregăteşte să gândim lucruri duhovniceşti”.</w:t>
      </w:r>
      <w:r w:rsidRPr="004E1738">
        <w:rPr>
          <w:rStyle w:val="FootnoteReference"/>
          <w:b w:val="0"/>
          <w:spacing w:val="-2"/>
          <w:sz w:val="24"/>
          <w:szCs w:val="22"/>
        </w:rPr>
        <w:footnoteReference w:id="13"/>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 xml:space="preserve">Învăţătura Sfântului Diadoh despre originea virtuţilor e inspirată, aşadar, în primul rând din tradiţia experienţei ascetice regăsită în </w:t>
      </w:r>
      <w:r w:rsidRPr="004E1738">
        <w:rPr>
          <w:b w:val="0"/>
          <w:i/>
          <w:iCs/>
          <w:spacing w:val="-2"/>
          <w:sz w:val="24"/>
          <w:szCs w:val="22"/>
        </w:rPr>
        <w:t>Omiliile pseudo-macariene</w:t>
      </w:r>
      <w:r w:rsidRPr="004E1738">
        <w:rPr>
          <w:b w:val="0"/>
          <w:spacing w:val="-2"/>
          <w:sz w:val="24"/>
          <w:szCs w:val="22"/>
        </w:rPr>
        <w:t xml:space="preserve"> dar şi în </w:t>
      </w:r>
      <w:r w:rsidRPr="004E1738">
        <w:rPr>
          <w:b w:val="0"/>
          <w:i/>
          <w:iCs/>
          <w:spacing w:val="-2"/>
          <w:sz w:val="24"/>
          <w:szCs w:val="22"/>
        </w:rPr>
        <w:t>Convorbirea a XIII-a</w:t>
      </w:r>
      <w:r w:rsidRPr="004E1738">
        <w:rPr>
          <w:b w:val="0"/>
          <w:spacing w:val="-2"/>
          <w:sz w:val="24"/>
          <w:szCs w:val="22"/>
        </w:rPr>
        <w:t xml:space="preserve"> a </w:t>
      </w:r>
      <w:r w:rsidRPr="004E1738">
        <w:rPr>
          <w:b w:val="0"/>
          <w:spacing w:val="-2"/>
          <w:sz w:val="24"/>
          <w:szCs w:val="22"/>
        </w:rPr>
        <w:lastRenderedPageBreak/>
        <w:t>Sfântului Ioan Casian</w:t>
      </w:r>
      <w:r w:rsidRPr="004E1738">
        <w:rPr>
          <w:rStyle w:val="FootnoteReference"/>
          <w:b w:val="0"/>
          <w:spacing w:val="-2"/>
          <w:sz w:val="24"/>
          <w:szCs w:val="22"/>
        </w:rPr>
        <w:footnoteReference w:id="14"/>
      </w:r>
      <w:r w:rsidRPr="004E1738">
        <w:rPr>
          <w:b w:val="0"/>
          <w:spacing w:val="-2"/>
          <w:sz w:val="24"/>
          <w:szCs w:val="22"/>
        </w:rPr>
        <w:t>, el reuşind să exprime, evitând orice deviere în semipelagianism sau în predestinaţianism, modul cum ideile sau raţiunile seminale, afirmate de tradiţiile filosofice stoică şi platonică, lucrează în timpul rugăciunii</w:t>
      </w:r>
      <w:r w:rsidRPr="004E1738">
        <w:rPr>
          <w:b w:val="0"/>
          <w:i/>
          <w:iCs/>
          <w:spacing w:val="-2"/>
          <w:sz w:val="24"/>
          <w:szCs w:val="22"/>
        </w:rPr>
        <w:t>.</w:t>
      </w:r>
      <w:r w:rsidRPr="004E1738">
        <w:rPr>
          <w:b w:val="0"/>
          <w:spacing w:val="-2"/>
          <w:sz w:val="24"/>
          <w:szCs w:val="22"/>
        </w:rPr>
        <w:t xml:space="preserve"> Referirea sa la „seminţele rugăciunii”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vădeşte preluarea de către el prin această filieră patristică a concepţiei filosofice antice stoice şi filoniene despre modul formării virtuţilor, în care raţiunile seminale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“seminţele virtuţii” semănate în „pământul inimii” erau cele ce iniţiau şi hrăneau virtuţile sufleteşti şi pe cele trupeşti izvorâte din acestea. Pentru stoici, aceste seminţe, idei seminale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erau manifestările în lume şi în lucrurile lumii, spre a le însufleţi, conduce şi pronia,</w:t>
      </w:r>
      <w:r w:rsidRPr="004E1738">
        <w:rPr>
          <w:rStyle w:val="FootnoteReference"/>
          <w:b w:val="0"/>
          <w:spacing w:val="-2"/>
          <w:sz w:val="24"/>
          <w:szCs w:val="22"/>
        </w:rPr>
        <w:footnoteReference w:id="15"/>
      </w:r>
      <w:r w:rsidRPr="004E1738">
        <w:rPr>
          <w:b w:val="0"/>
          <w:spacing w:val="-2"/>
          <w:sz w:val="24"/>
          <w:szCs w:val="22"/>
        </w:rPr>
        <w:t xml:space="preserve"> ale “focului-logos” heraclitian sau ale “spiritului-foc raţional şi divin”, cum îl numeau ei, idee filosofică preluată de creştinism încă prin Evanghelia Sfântului Ioan, spre a fi identificată cu Hristos Cuvântul-Logos divin.</w:t>
      </w:r>
      <w:r w:rsidRPr="004E1738">
        <w:rPr>
          <w:rStyle w:val="FootnoteReference"/>
          <w:b w:val="0"/>
          <w:spacing w:val="-2"/>
          <w:sz w:val="24"/>
          <w:szCs w:val="22"/>
        </w:rPr>
        <w:footnoteReference w:id="16"/>
      </w:r>
      <w:r w:rsidRPr="004E1738">
        <w:rPr>
          <w:b w:val="0"/>
          <w:spacing w:val="-2"/>
          <w:sz w:val="24"/>
          <w:szCs w:val="22"/>
        </w:rPr>
        <w:t xml:space="preserve"> În platonism virtutea era “o raţiune”, “cu-minţenie” ce nu se poate învăţa nefiind ştiinţă, nici dar al naturii umane, ci numai har divin inspirat sufletului ca dreaptă părere de către zei, adus şi păstrat în suflet prin amintire.</w:t>
      </w:r>
      <w:r w:rsidRPr="004E1738">
        <w:rPr>
          <w:rStyle w:val="FootnoteReference"/>
          <w:b w:val="0"/>
          <w:spacing w:val="-2"/>
          <w:sz w:val="24"/>
          <w:szCs w:val="22"/>
        </w:rPr>
        <w:footnoteReference w:id="17"/>
      </w:r>
      <w:r w:rsidRPr="004E1738">
        <w:rPr>
          <w:b w:val="0"/>
          <w:spacing w:val="-2"/>
          <w:sz w:val="24"/>
          <w:szCs w:val="22"/>
        </w:rPr>
        <w:t xml:space="preserve"> Înţelepciunea, pentru platonism, reprezenta virtutea principală din care izvorăsc celelalte virtuţi.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Spre deosebire de aceste concepţii de care se apropie, pentru Sfântul Diadoh, mintea omului poate izvorî şi din sine însăşi gânduri bune ce pot rodi virtuţi, şi aceasta prin efortul propriu al firii de înfrânare, ce-şi poate descoperi din darurile date ei la creaţie şi pe care le mai păstrează, într-o măsură mult mai mică, chiar şi în starea de păcat strămoşesc. În aceste situaţii, însă, de păcat strămoşesc sau de împătimire, “firea îşi cheltuieşte repid virtutea sa (binele său propriu) din pricină că e săracă”.</w:t>
      </w:r>
      <w:r w:rsidRPr="004E1738">
        <w:rPr>
          <w:rStyle w:val="FootnoteReference"/>
          <w:b w:val="0"/>
          <w:spacing w:val="-2"/>
          <w:sz w:val="24"/>
          <w:szCs w:val="22"/>
        </w:rPr>
        <w:footnoteReference w:id="18"/>
      </w:r>
      <w:r w:rsidRPr="004E1738">
        <w:rPr>
          <w:b w:val="0"/>
          <w:spacing w:val="-2"/>
          <w:sz w:val="24"/>
          <w:szCs w:val="22"/>
        </w:rPr>
        <w:t xml:space="preserve"> El vorbeşte de „seminţele curate fireşti ale pământului inimii”</w:t>
      </w:r>
      <w:r w:rsidRPr="004E1738">
        <w:rPr>
          <w:rStyle w:val="FootnoteReference"/>
          <w:b w:val="0"/>
          <w:spacing w:val="-2"/>
          <w:sz w:val="24"/>
          <w:szCs w:val="22"/>
        </w:rPr>
        <w:footnoteReference w:id="19"/>
      </w:r>
      <w:r w:rsidRPr="004E1738">
        <w:rPr>
          <w:b w:val="0"/>
          <w:spacing w:val="-2"/>
          <w:sz w:val="24"/>
          <w:szCs w:val="22"/>
        </w:rPr>
        <w:t xml:space="preserve">, răsărite mai uşor în inimă prin folosirea cumpătată, ca stimulent, a vinului; de „belşugul roadelor fireşti ale </w:t>
      </w:r>
      <w:r w:rsidRPr="004E1738">
        <w:rPr>
          <w:b w:val="0"/>
          <w:spacing w:val="-2"/>
          <w:sz w:val="24"/>
          <w:szCs w:val="22"/>
        </w:rPr>
        <w:lastRenderedPageBreak/>
        <w:t>sufletului”</w:t>
      </w:r>
      <w:r w:rsidRPr="004E1738">
        <w:rPr>
          <w:rStyle w:val="FootnoteReference"/>
          <w:b w:val="0"/>
          <w:spacing w:val="-2"/>
          <w:sz w:val="24"/>
          <w:szCs w:val="22"/>
        </w:rPr>
        <w:footnoteReference w:id="20"/>
      </w:r>
      <w:r w:rsidRPr="004E1738">
        <w:rPr>
          <w:b w:val="0"/>
          <w:spacing w:val="-2"/>
          <w:sz w:val="24"/>
          <w:szCs w:val="22"/>
        </w:rPr>
        <w:t xml:space="preserve"> dobândite de acesta în starea de „cunoştinţă de sine”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ώ</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21"/>
      </w:r>
      <w:r w:rsidRPr="004E1738">
        <w:rPr>
          <w:b w:val="0"/>
          <w:spacing w:val="-2"/>
          <w:sz w:val="24"/>
          <w:szCs w:val="22"/>
        </w:rPr>
        <w:t>. Gândurile virtuoase erau izvorâte de inimă şi în starea de păcat strămoşesc ca “ieşiri dinspre dreapta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ale minţii” produse prin îndemnul harului venit atunci din exterior, înăbuşite însă de “foiala”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pătimaşă a Satanei aflat în adâncul inimii.</w:t>
      </w:r>
      <w:r w:rsidRPr="004E1738">
        <w:rPr>
          <w:rStyle w:val="FootnoteReference"/>
          <w:b w:val="0"/>
          <w:spacing w:val="-2"/>
          <w:sz w:val="24"/>
          <w:szCs w:val="22"/>
        </w:rPr>
        <w:footnoteReference w:id="22"/>
      </w:r>
      <w:r w:rsidRPr="004E1738">
        <w:rPr>
          <w:b w:val="0"/>
          <w:spacing w:val="-2"/>
          <w:sz w:val="24"/>
          <w:szCs w:val="22"/>
        </w:rPr>
        <w:t xml:space="preserve"> Însă raportarea Sfântului Diadoh în principal la viaţa de rugăciune ce implică dialogul sau sinergia sufletului cu harul divin, lasă nedefinită clar această origine naturală a virtuţilor.</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Asemănătoare acestei stări, e şi cea produsă în cadrul naturii restaurate supuse efortului ascetic prin voinţa proprie a nevoitorului angajat în experierea harului prin rugăciunea ce inspiră minţii gândurile duhovniceşti. Practicile ascetice menţionate de Sfântul Diadoh au tocmai această caracteristică de a fi unelte, instrumente ce ajută la dobândirea şi păstrarea stării de inspiraţie harică a cunoştinţelor şi înţelesurilor duhovniceşti ce stau la baza formării virtuţilor. Ele produc gânduri virtuoase în minte sau mângâieri duhovniceşti în întreg sufletul prin harul adus oarecum din exterior în suflet prin intermediul contemplaţiei naturale şi a celei produse prin “cântarea psalmilor”</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şi “citirea Scripturilor”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ώ</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şi a “tâlcuirilor bărbaţilor învăţaţi”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23"/>
      </w:r>
      <w:r w:rsidRPr="004E1738">
        <w:rPr>
          <w:b w:val="0"/>
          <w:spacing w:val="-2"/>
          <w:sz w:val="24"/>
          <w:szCs w:val="22"/>
        </w:rPr>
        <w:t>. Aceste practici ascetice şi contemplative sunt mijloace de inducere a stării afective în care harul “hrăneşte mintea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cu cuvintele lui Dumnezeu în fulgerările luminii negrăite”</w:t>
      </w:r>
      <w:r w:rsidRPr="004E1738">
        <w:rPr>
          <w:rStyle w:val="FootnoteReference"/>
          <w:b w:val="0"/>
          <w:spacing w:val="-2"/>
          <w:sz w:val="24"/>
          <w:szCs w:val="22"/>
        </w:rPr>
        <w:footnoteReference w:id="24"/>
      </w:r>
      <w:r w:rsidRPr="004E1738">
        <w:rPr>
          <w:b w:val="0"/>
          <w:spacing w:val="-2"/>
          <w:sz w:val="24"/>
          <w:szCs w:val="22"/>
        </w:rPr>
        <w:t>, inima smulgând din partea poftitoare a sufletului reprezentările ce se fac “chip de slavă a lucrării sufletului”</w:t>
      </w:r>
      <w:r w:rsidRPr="004E1738">
        <w:rPr>
          <w:rStyle w:val="FootnoteReference"/>
          <w:b w:val="0"/>
          <w:spacing w:val="-2"/>
          <w:sz w:val="24"/>
          <w:szCs w:val="22"/>
        </w:rPr>
        <w:footnoteReference w:id="25"/>
      </w:r>
      <w:r w:rsidRPr="004E1738">
        <w:rPr>
          <w:b w:val="0"/>
          <w:spacing w:val="-2"/>
          <w:sz w:val="24"/>
          <w:szCs w:val="22"/>
        </w:rPr>
        <w:t xml:space="preserve">. Însuşirea de către minte prin puterea ei de a dori, a acestor reprezentări, a acestor “gânduri bune şi trimise de </w:t>
      </w:r>
      <w:smartTag w:uri="urn:schemas-microsoft-com:office:smarttags" w:element="PersonName">
        <w:smartTagPr>
          <w:attr w:name="ProductID" w:val="la Dumnezeu"/>
        </w:smartTagPr>
        <w:r w:rsidRPr="004E1738">
          <w:rPr>
            <w:b w:val="0"/>
            <w:spacing w:val="-2"/>
            <w:sz w:val="24"/>
            <w:szCs w:val="22"/>
          </w:rPr>
          <w:t>la Dumnezeu</w:t>
        </w:r>
      </w:smartTag>
      <w:r w:rsidRPr="004E1738">
        <w:rPr>
          <w:b w:val="0"/>
          <w:spacing w:val="-2"/>
          <w:sz w:val="24"/>
          <w:szCs w:val="22"/>
        </w:rPr>
        <w:t>” e urmată de depozitarea lor “în cămările amintirii”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26"/>
      </w:r>
      <w:r w:rsidRPr="004E1738">
        <w:rPr>
          <w:b w:val="0"/>
          <w:spacing w:val="-2"/>
          <w:sz w:val="24"/>
          <w:szCs w:val="22"/>
        </w:rPr>
        <w:t xml:space="preserve"> având loc astfel o îmbogăţire a firii omului duhovnicesc, realizată tocmai prin mijlocirea rugăciunii ca practică şi efort de direcţionare a dorinţei după Dumnezeu.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Modul acesta de formare a virtuţilor e specific mai mult etapei de purificare a sufletului prin efort ascetic, virtuţile luând naştere tocmai din întâlnirea armonioasă a puterilor harice venite din exterior prin aceste practici ascetice, cu cele din interiorul sufletului, existente ca dat natural chiar şi în cadrul chipului nerestaurat din om. Virtuţile răsar din aceste puteri ca “roade fireşti”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ale sufletului în timpul rugăciunii obişnuite şi produc în suflet “o bucurie amestecată cu închipuiri”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27"/>
      </w:r>
      <w:r w:rsidRPr="004E1738">
        <w:rPr>
          <w:b w:val="0"/>
          <w:spacing w:val="-2"/>
          <w:sz w:val="24"/>
          <w:szCs w:val="22"/>
        </w:rPr>
        <w:t xml:space="preserve">, deci o cunoaştere duhovnicească imperfectă. </w:t>
      </w:r>
    </w:p>
    <w:p w:rsidR="004E1738" w:rsidRPr="004E1738" w:rsidRDefault="004E1738" w:rsidP="004E1738">
      <w:pPr>
        <w:spacing w:line="276" w:lineRule="auto"/>
        <w:ind w:firstLine="720"/>
        <w:jc w:val="both"/>
        <w:rPr>
          <w:bCs/>
          <w:spacing w:val="-2"/>
          <w:sz w:val="24"/>
          <w:szCs w:val="22"/>
        </w:rPr>
      </w:pPr>
    </w:p>
    <w:p w:rsidR="004E1738" w:rsidRPr="004E1738" w:rsidRDefault="004E1738" w:rsidP="004E1738">
      <w:pPr>
        <w:spacing w:line="276" w:lineRule="auto"/>
        <w:ind w:firstLine="720"/>
        <w:jc w:val="both"/>
        <w:rPr>
          <w:b/>
          <w:i/>
          <w:spacing w:val="-2"/>
          <w:sz w:val="28"/>
          <w:szCs w:val="24"/>
        </w:rPr>
      </w:pPr>
    </w:p>
    <w:p w:rsidR="004E1738" w:rsidRPr="004E1738" w:rsidRDefault="004E1738" w:rsidP="004E1738">
      <w:pPr>
        <w:spacing w:line="276" w:lineRule="auto"/>
        <w:ind w:firstLine="720"/>
        <w:jc w:val="both"/>
        <w:rPr>
          <w:b/>
          <w:i/>
          <w:spacing w:val="-2"/>
          <w:sz w:val="28"/>
          <w:szCs w:val="24"/>
        </w:rPr>
      </w:pPr>
      <w:r w:rsidRPr="004E1738">
        <w:rPr>
          <w:b/>
          <w:i/>
          <w:spacing w:val="-2"/>
          <w:sz w:val="28"/>
          <w:szCs w:val="24"/>
        </w:rPr>
        <w:t>Originea harică a virtuţii</w:t>
      </w:r>
    </w:p>
    <w:p w:rsidR="004E1738" w:rsidRPr="004E1738" w:rsidRDefault="004E1738" w:rsidP="004E1738">
      <w:pPr>
        <w:spacing w:line="276" w:lineRule="auto"/>
        <w:ind w:firstLine="720"/>
        <w:jc w:val="both"/>
        <w:rPr>
          <w:bCs/>
          <w:spacing w:val="-2"/>
          <w:sz w:val="24"/>
          <w:szCs w:val="22"/>
        </w:rPr>
      </w:pPr>
    </w:p>
    <w:p w:rsidR="004E1738" w:rsidRPr="004E1738" w:rsidRDefault="004E1738" w:rsidP="004E1738">
      <w:pPr>
        <w:spacing w:line="276" w:lineRule="auto"/>
        <w:ind w:firstLine="720"/>
        <w:jc w:val="both"/>
        <w:rPr>
          <w:bCs/>
          <w:spacing w:val="-2"/>
          <w:sz w:val="24"/>
          <w:szCs w:val="22"/>
        </w:rPr>
      </w:pPr>
      <w:r w:rsidRPr="004E1738">
        <w:rPr>
          <w:bCs/>
          <w:spacing w:val="-2"/>
          <w:sz w:val="24"/>
          <w:szCs w:val="22"/>
        </w:rPr>
        <w:t>Originea propriu-zisă a gândurilor bune şi deci şi a virtuţii e, însă, lucrarea sau energia harului în suflet ce “face inima să izvorască cugetări înlăcrimate şi blânde”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ώ</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w:t>
      </w:r>
      <w:r w:rsidRPr="004E1738">
        <w:rPr>
          <w:rStyle w:val="FootnoteReference"/>
          <w:bCs/>
          <w:spacing w:val="-2"/>
          <w:sz w:val="24"/>
          <w:szCs w:val="22"/>
        </w:rPr>
        <w:footnoteReference w:id="28"/>
      </w:r>
      <w:r w:rsidRPr="004E1738">
        <w:rPr>
          <w:bCs/>
          <w:spacing w:val="-2"/>
          <w:sz w:val="24"/>
          <w:szCs w:val="22"/>
        </w:rPr>
        <w:t xml:space="preserve"> producând cunoaşterea desăvârşită, certitudinea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starea  sufletească de iluminare harică interioară. În această stare gândurile bune izvorăsc din interior, din inima omului, producându-se mai ales în timpul extazului rugăciunii duhovniceşti, ca dezveliri, odată cu împlinirea poruncilor vieţii ascetice, ale puterilor harului ascunse în inima omului de </w:t>
      </w:r>
      <w:smartTag w:uri="urn:schemas-microsoft-com:office:smarttags" w:element="PersonName">
        <w:smartTagPr>
          <w:attr w:name="ProductID" w:val="la Botez. Ele"/>
        </w:smartTagPr>
        <w:r w:rsidRPr="004E1738">
          <w:rPr>
            <w:bCs/>
            <w:spacing w:val="-2"/>
            <w:sz w:val="24"/>
            <w:szCs w:val="22"/>
          </w:rPr>
          <w:t>la Botez. Ele</w:t>
        </w:r>
      </w:smartTag>
      <w:r w:rsidRPr="004E1738">
        <w:rPr>
          <w:bCs/>
          <w:spacing w:val="-2"/>
          <w:sz w:val="24"/>
          <w:szCs w:val="22"/>
        </w:rPr>
        <w:t xml:space="preserve"> se produc prin conlucrarea puterilor naturii restaurate, purificate şi întărite prin asceza personală, cu comoara puterilor harului ascuns în suflet de </w:t>
      </w:r>
      <w:smartTag w:uri="urn:schemas-microsoft-com:office:smarttags" w:element="PersonName">
        <w:smartTagPr>
          <w:attr w:name="ProductID" w:val="la Botez"/>
        </w:smartTagPr>
        <w:r w:rsidRPr="004E1738">
          <w:rPr>
            <w:bCs/>
            <w:spacing w:val="-2"/>
            <w:sz w:val="24"/>
            <w:szCs w:val="22"/>
          </w:rPr>
          <w:t>la Botez</w:t>
        </w:r>
      </w:smartTag>
      <w:r w:rsidRPr="004E1738">
        <w:rPr>
          <w:bCs/>
          <w:spacing w:val="-2"/>
          <w:sz w:val="24"/>
          <w:szCs w:val="22"/>
        </w:rPr>
        <w:t xml:space="preserve">, însă raportul acestor două surse este foarte dificil de precizat. Spre deosebire de efortul ascetic şi contemplaţia naturală, în cazul cărora harul lucra oarecum din exterior, inducând stări de har prin chipurile duhovniceşti create şi contemplate în minte, producând astfel afectivitatea harică, acum harul lucrează din </w:t>
      </w:r>
      <w:r w:rsidRPr="004E1738">
        <w:rPr>
          <w:bCs/>
          <w:i/>
          <w:iCs/>
          <w:spacing w:val="-2"/>
          <w:sz w:val="24"/>
          <w:szCs w:val="22"/>
        </w:rPr>
        <w:t>interiorul transcendent</w:t>
      </w:r>
      <w:r w:rsidRPr="004E1738">
        <w:rPr>
          <w:bCs/>
          <w:spacing w:val="-2"/>
          <w:sz w:val="24"/>
          <w:szCs w:val="22"/>
        </w:rPr>
        <w:t xml:space="preserve"> al sufletului înţeles ca energie, suflare de origine dumnezeiască prin care omul a fost creat, revărsându-se din inimă (anima) “peste simţurile mai de dinafară ale inimii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ώ</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arzând cu totul neghina pământului omenesc”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w:t>
      </w:r>
      <w:r w:rsidRPr="004E1738">
        <w:rPr>
          <w:rStyle w:val="FootnoteReference"/>
          <w:bCs/>
          <w:spacing w:val="-2"/>
          <w:sz w:val="24"/>
          <w:szCs w:val="22"/>
        </w:rPr>
        <w:footnoteReference w:id="29"/>
      </w:r>
      <w:r w:rsidRPr="004E1738">
        <w:rPr>
          <w:bCs/>
          <w:spacing w:val="-2"/>
          <w:sz w:val="24"/>
          <w:szCs w:val="22"/>
        </w:rPr>
        <w:t>. Acest mod de împărtăşire a virtuţilor de către har e specific rugăciunii extatice prin care sufletului i se împărtăşeşte virtutea sau energia harică pură în toată simţirea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sufletului prin deschiderea sa faţă de transcendent ce se face prin voia divină, voinţa firii omeneşti fiind oarecum copleşită. Spre deosebire de acest mod, în timpul rugăciunii meditativ-contemplative sufletului i se împărtăşeşte virtutea felurită prin imaginare aprehensivă la nivel doar cerebral, iar nu transcendent, voinţa omenească fiind conştient cooperantă. </w:t>
      </w:r>
    </w:p>
    <w:p w:rsidR="004E1738" w:rsidRPr="004E1738" w:rsidRDefault="004E1738" w:rsidP="004E1738">
      <w:pPr>
        <w:spacing w:line="276" w:lineRule="auto"/>
        <w:ind w:firstLine="720"/>
        <w:jc w:val="both"/>
        <w:rPr>
          <w:spacing w:val="-2"/>
          <w:sz w:val="24"/>
          <w:szCs w:val="22"/>
        </w:rPr>
      </w:pPr>
      <w:r w:rsidRPr="004E1738">
        <w:rPr>
          <w:spacing w:val="-2"/>
          <w:sz w:val="24"/>
          <w:szCs w:val="22"/>
        </w:rPr>
        <w:t>Pentru a înţelege mai bine modul producerii şi lucrarea lor în suflet trebuie să vedem ce anume sunt aceste gânduri duhovniceşti izvorâte de minte, care e natura, forma şi lucrarea lor în suflet? Evagrie Ponticul defineşte gândurile bune ca fiind cele care “îi dau [minţii] numai o cunoştinţă şi nu-şi pun tiparul pe ea şi nici nu-i dau o formă”, iar ca exemple ale acestora dă “noţiunea de Dumnezeu”, “fiinţa celor netrupeşti şi raţiunile lor, sau numai raţiunile fiinţelor trupeşti” despărţite de sensul pătimaş dat de păcat.</w:t>
      </w:r>
      <w:r w:rsidRPr="004E1738">
        <w:rPr>
          <w:rStyle w:val="FootnoteReference"/>
          <w:spacing w:val="-2"/>
          <w:sz w:val="24"/>
          <w:szCs w:val="22"/>
        </w:rPr>
        <w:footnoteReference w:id="30"/>
      </w:r>
      <w:r w:rsidRPr="004E1738">
        <w:rPr>
          <w:spacing w:val="-2"/>
          <w:sz w:val="24"/>
          <w:szCs w:val="22"/>
        </w:rPr>
        <w:t xml:space="preserve"> Tot cu referire la ele spune că “virtutea nu este altceva decât un gând născut din patima care îi rezistă”.</w:t>
      </w:r>
      <w:r w:rsidRPr="004E1738">
        <w:rPr>
          <w:rStyle w:val="FootnoteReference"/>
          <w:spacing w:val="-2"/>
          <w:sz w:val="24"/>
          <w:szCs w:val="22"/>
        </w:rPr>
        <w:footnoteReference w:id="31"/>
      </w:r>
      <w:r w:rsidRPr="004E1738">
        <w:rPr>
          <w:spacing w:val="-2"/>
          <w:sz w:val="24"/>
          <w:szCs w:val="22"/>
        </w:rPr>
        <w:t xml:space="preserve"> Ele nu sunt aşadar precepte dobândite prin apercepţie exterioară ce risipesc mintea atunci când le cuprinde, ci gânduri simple, generalizatoare, inductoare ale unei cunoaşteri unificatoare a minţii ce dobândeşte prin ele o simţire tot mai fină. Pentru Sfântul Grigorie de Nyssa, a cărui doctrină stă la originea celei evagriene preluate de Sfântul Diadoh, „conceptele creează idoli despre Dumnezeu, singură </w:t>
      </w:r>
      <w:r w:rsidRPr="004E1738">
        <w:rPr>
          <w:spacing w:val="-2"/>
          <w:sz w:val="24"/>
          <w:szCs w:val="22"/>
        </w:rPr>
        <w:lastRenderedPageBreak/>
        <w:t>stupoarea, mirarea poate înţelege, prinde ceva din/despre El”.</w:t>
      </w:r>
      <w:r w:rsidRPr="004E1738">
        <w:rPr>
          <w:rStyle w:val="FootnoteReference"/>
          <w:spacing w:val="-2"/>
          <w:sz w:val="24"/>
          <w:szCs w:val="22"/>
        </w:rPr>
        <w:footnoteReference w:id="32"/>
      </w:r>
      <w:r w:rsidRPr="004E1738">
        <w:rPr>
          <w:spacing w:val="-2"/>
          <w:sz w:val="24"/>
          <w:szCs w:val="22"/>
        </w:rPr>
        <w:t xml:space="preserve"> Sfântul Diadoh urmează acestei concepţii. El exprimă lucrarea gândurilor duhovniceşti asupra sufletului în termeni specifici </w:t>
      </w:r>
      <w:r w:rsidRPr="004E1738">
        <w:rPr>
          <w:i/>
          <w:spacing w:val="-2"/>
          <w:sz w:val="24"/>
          <w:szCs w:val="22"/>
        </w:rPr>
        <w:t>Omiliilor pseudo-macariene</w:t>
      </w:r>
      <w:r w:rsidRPr="004E1738">
        <w:rPr>
          <w:rStyle w:val="FootnoteReference"/>
          <w:spacing w:val="-2"/>
          <w:sz w:val="24"/>
          <w:szCs w:val="22"/>
        </w:rPr>
        <w:footnoteReference w:id="33"/>
      </w:r>
      <w:r w:rsidRPr="004E1738">
        <w:rPr>
          <w:spacing w:val="-2"/>
          <w:sz w:val="24"/>
          <w:szCs w:val="22"/>
        </w:rPr>
        <w:t>, rodul lor fiind, de fapt, nu o vedere propriu-zisă a vreunui chip inteligibil sau sensibil, circumscris în timpul contemplaţiei în rugăciune, ci trăirea prezenţei harului printr-un sentiment profund de armonizare şi iluminare: “mintea celor ce se nevoiesc stă sub lucrarea luminii dumnezeieşti” pentru că “sufletul se împărtăşeşte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έ</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de Duhul Sfânt”</w:t>
      </w:r>
      <w:r w:rsidRPr="004E1738">
        <w:rPr>
          <w:rStyle w:val="FootnoteReference"/>
          <w:spacing w:val="-2"/>
          <w:sz w:val="24"/>
          <w:szCs w:val="22"/>
        </w:rPr>
        <w:footnoteReference w:id="34"/>
      </w:r>
      <w:r w:rsidRPr="004E1738">
        <w:rPr>
          <w:spacing w:val="-2"/>
          <w:sz w:val="24"/>
          <w:szCs w:val="22"/>
        </w:rPr>
        <w:t>; “harul … umple sufletul de lumină prin simţire multă” (</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w:t>
      </w:r>
      <w:r w:rsidRPr="004E1738">
        <w:rPr>
          <w:rStyle w:val="FootnoteReference"/>
          <w:spacing w:val="-2"/>
          <w:sz w:val="24"/>
          <w:szCs w:val="22"/>
        </w:rPr>
        <w:footnoteReference w:id="35"/>
      </w:r>
      <w:r w:rsidRPr="004E1738">
        <w:rPr>
          <w:spacing w:val="-2"/>
          <w:sz w:val="24"/>
          <w:szCs w:val="22"/>
        </w:rPr>
        <w:t>, iar această lumină e Hristos, “Cuvântul lui Dumnezeu, ce a aprins în noi focul sfintei cunoaşteri”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ώ</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w:t>
      </w:r>
      <w:r w:rsidRPr="004E1738">
        <w:rPr>
          <w:rStyle w:val="FootnoteReference"/>
          <w:spacing w:val="-2"/>
          <w:sz w:val="24"/>
          <w:szCs w:val="22"/>
        </w:rPr>
        <w:footnoteReference w:id="36"/>
      </w:r>
      <w:r w:rsidRPr="004E1738">
        <w:rPr>
          <w:spacing w:val="-2"/>
          <w:sz w:val="24"/>
          <w:szCs w:val="22"/>
        </w:rPr>
        <w:t xml:space="preserve">, adică adevărata cunoaştere ce înnobilează sufletul cu cunoaşterea adevărului. </w:t>
      </w:r>
    </w:p>
    <w:p w:rsidR="004E1738" w:rsidRPr="004E1738" w:rsidRDefault="004E1738" w:rsidP="004E1738">
      <w:pPr>
        <w:pStyle w:val="BodyTextIndent"/>
        <w:tabs>
          <w:tab w:val="left" w:pos="720"/>
        </w:tabs>
        <w:spacing w:line="276" w:lineRule="auto"/>
        <w:rPr>
          <w:b w:val="0"/>
          <w:spacing w:val="-2"/>
          <w:sz w:val="24"/>
          <w:szCs w:val="22"/>
        </w:rPr>
      </w:pPr>
      <w:r w:rsidRPr="004E1738">
        <w:rPr>
          <w:b w:val="0"/>
          <w:spacing w:val="-2"/>
          <w:sz w:val="24"/>
          <w:szCs w:val="22"/>
        </w:rPr>
        <w:t>Gândurile bune semănate în “pământul inimii”, în cugetarea discursivă a omului duhovnicesc, sunt aşadar iluminări harice ale acesteia, lipsite de orice formă, aducând sufletului cunoaşterea de Dumnezeu, “lumina cunoştinţei adevărate”, o tot mai mare limpezire a lui până la atingerea asemănării cu Dumnezeu maxim posibile pentru firea omenească. Ele vin când “sufletul stă sub suflarea Duhului adevărat şi Sfânt”</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[ce face ca] partea contemplativă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sufletului nostru să rămână “pururea senină (</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predispusă îndeletnicirii „fără rătăcire cu vederile dumnezeieşti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privind în văzduh de lumină cele ale luminii”.</w:t>
      </w:r>
      <w:r w:rsidRPr="004E1738">
        <w:rPr>
          <w:rStyle w:val="FootnoteReference"/>
          <w:b w:val="0"/>
          <w:spacing w:val="-2"/>
          <w:sz w:val="24"/>
          <w:szCs w:val="22"/>
        </w:rPr>
        <w:footnoteReference w:id="37"/>
      </w:r>
      <w:r w:rsidRPr="004E1738">
        <w:rPr>
          <w:b w:val="0"/>
          <w:spacing w:val="-2"/>
          <w:sz w:val="24"/>
          <w:szCs w:val="22"/>
        </w:rPr>
        <w:t xml:space="preserve"> Virtuţile se sădesc, aşadar, în suflet în timpul iluminării realizate prin rugăciune, anume prin aceste gânduri fără formă ce aduc sufletului cunoştinţa de Dumnezeu, gânduri ce se constituie ca esenţe harice ale virtuţilor. Ele nu se văd sau se imaginează, ci se simt cu mintea, se gustă cu sufletul ca lumină spirituală, ca bucurie, ca ardoare a iubirii de Dumnezeu ce îmbogăţeşte şi împlineşte sufletul.</w:t>
      </w:r>
    </w:p>
    <w:p w:rsidR="004E1738" w:rsidRPr="004E1738" w:rsidRDefault="004E1738" w:rsidP="004E1738">
      <w:pPr>
        <w:pStyle w:val="BodyTextIndent"/>
        <w:tabs>
          <w:tab w:val="left" w:pos="720"/>
        </w:tabs>
        <w:spacing w:line="276" w:lineRule="auto"/>
        <w:ind w:firstLine="0"/>
        <w:rPr>
          <w:b w:val="0"/>
          <w:spacing w:val="-2"/>
          <w:sz w:val="24"/>
          <w:szCs w:val="22"/>
        </w:rPr>
      </w:pPr>
      <w:r w:rsidRPr="004E1738">
        <w:rPr>
          <w:b w:val="0"/>
          <w:spacing w:val="-2"/>
          <w:sz w:val="24"/>
          <w:szCs w:val="22"/>
        </w:rPr>
        <w:tab/>
        <w:t>Modul de naştere efectivă a virtuţilor ca fapte bune sau duhovniceşti din aceste gânduri se întrevede tocmai din această stare de iluminare şi de iubire ce o produc în suflet. Sfântul Diadoh defineşte chipul lui Dumnezeu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ca fiind “mişcarea cugetătoare a sufletului”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38"/>
      </w:r>
      <w:r w:rsidRPr="004E1738">
        <w:rPr>
          <w:b w:val="0"/>
          <w:spacing w:val="-2"/>
          <w:sz w:val="24"/>
          <w:szCs w:val="22"/>
        </w:rPr>
        <w:t xml:space="preserve"> Expresia evocă tocmai dinamismul vieţii duhovniceşti prin care se nasc şi se consolidează virtuţile în suflet, fiind ehivalentul latinescului „emoţie”. Harul “aşteaptă mişcarea sufletului”</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“hotărârea sa mai caldă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şi cugetul (dispoziţia) său mai smerit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cu care să caute pe Dumnezeu”.</w:t>
      </w:r>
      <w:r w:rsidRPr="004E1738">
        <w:rPr>
          <w:rStyle w:val="FootnoteReference"/>
          <w:b w:val="0"/>
          <w:spacing w:val="-2"/>
          <w:sz w:val="24"/>
          <w:szCs w:val="22"/>
        </w:rPr>
        <w:footnoteReference w:id="39"/>
      </w:r>
      <w:r w:rsidRPr="004E1738">
        <w:rPr>
          <w:b w:val="0"/>
          <w:spacing w:val="-2"/>
          <w:sz w:val="24"/>
          <w:szCs w:val="22"/>
        </w:rPr>
        <w:t xml:space="preserve"> “Domnul atrage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sufletul la iubirea puternică a slavei Sale”</w:t>
      </w:r>
      <w:r w:rsidRPr="004E1738">
        <w:rPr>
          <w:rStyle w:val="FootnoteReference"/>
          <w:b w:val="0"/>
          <w:spacing w:val="-2"/>
          <w:sz w:val="24"/>
          <w:szCs w:val="22"/>
        </w:rPr>
        <w:footnoteReference w:id="40"/>
      </w:r>
      <w:r w:rsidRPr="004E1738">
        <w:rPr>
          <w:b w:val="0"/>
          <w:spacing w:val="-2"/>
          <w:sz w:val="24"/>
          <w:szCs w:val="22"/>
        </w:rPr>
        <w:t xml:space="preserve">, </w:t>
      </w:r>
      <w:r w:rsidRPr="004E1738">
        <w:rPr>
          <w:b w:val="0"/>
          <w:spacing w:val="-2"/>
          <w:sz w:val="24"/>
          <w:szCs w:val="22"/>
        </w:rPr>
        <w:lastRenderedPageBreak/>
        <w:t>sufletul fiind luat “de o mişcare neşovăielnică şi lipsită de năluciri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[când] nu mai cugetă nimic, decât la aceea spre ce e mişcat”, în timpul acestei mişcări “primind dragostea lui Dumnezeu”.</w:t>
      </w:r>
      <w:r w:rsidRPr="004E1738">
        <w:rPr>
          <w:rStyle w:val="FootnoteReference"/>
          <w:b w:val="0"/>
          <w:spacing w:val="-2"/>
          <w:sz w:val="24"/>
          <w:szCs w:val="22"/>
        </w:rPr>
        <w:footnoteReference w:id="41"/>
      </w:r>
      <w:r w:rsidRPr="004E1738">
        <w:rPr>
          <w:b w:val="0"/>
          <w:spacing w:val="-2"/>
          <w:sz w:val="24"/>
          <w:szCs w:val="22"/>
        </w:rPr>
        <w:t xml:space="preserve"> Virtuţile deci se sădesc prin această mişcare sau afectivitate sufletească superioară, inefabilă şi sunt expresia ordonării şi armonizării acestei mişcări sau emoţii, expresia stăpânirii voinţei omeneşti, a dăruirii puterilor sufletului către Dumnezeu ce “preschimbă acum putinţa de a se hotărâ în două feluri a voinţei noastre”.</w:t>
      </w:r>
      <w:r w:rsidRPr="004E1738">
        <w:rPr>
          <w:rStyle w:val="FootnoteReference"/>
          <w:b w:val="0"/>
          <w:spacing w:val="-2"/>
          <w:sz w:val="24"/>
          <w:szCs w:val="22"/>
        </w:rPr>
        <w:footnoteReference w:id="42"/>
      </w:r>
      <w:r w:rsidRPr="004E1738">
        <w:rPr>
          <w:b w:val="0"/>
          <w:spacing w:val="-2"/>
          <w:sz w:val="24"/>
          <w:szCs w:val="22"/>
        </w:rPr>
        <w:t xml:space="preserve"> Se realizează o transpoziţie, o deplasare, o metamorfoză a energiilor firii, a energiilor chipului divin din om ce e reorganizat şi astfel restaurat. </w:t>
      </w:r>
    </w:p>
    <w:p w:rsidR="004E1738" w:rsidRPr="004E1738" w:rsidRDefault="004E1738" w:rsidP="004E1738">
      <w:pPr>
        <w:pStyle w:val="BodyTextIndent"/>
        <w:tabs>
          <w:tab w:val="left" w:pos="720"/>
        </w:tabs>
        <w:spacing w:line="276" w:lineRule="auto"/>
        <w:ind w:firstLine="0"/>
        <w:rPr>
          <w:b w:val="0"/>
          <w:spacing w:val="-2"/>
          <w:sz w:val="24"/>
          <w:szCs w:val="22"/>
        </w:rPr>
      </w:pPr>
      <w:r w:rsidRPr="004E1738">
        <w:rPr>
          <w:b w:val="0"/>
          <w:spacing w:val="-2"/>
          <w:sz w:val="24"/>
          <w:szCs w:val="22"/>
        </w:rPr>
        <w:tab/>
        <w:t>Sădirea şi creşterea virtuţilor în suflet se realizează prin conlucrarea puterilor omeneşti cu cele divine. “Harul învaţă sufletul… noi având numaidecât trebuinţă de ajutorul Lui”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43"/>
      </w:r>
      <w:r w:rsidRPr="004E1738">
        <w:rPr>
          <w:b w:val="0"/>
          <w:spacing w:val="-2"/>
          <w:sz w:val="24"/>
          <w:szCs w:val="22"/>
        </w:rPr>
        <w:t>; mintea se foloseşte de agerimea ei spre a se prinde de pomenirea numelui Domnului, iar harul cugetă împreună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cu sufletul.</w:t>
      </w:r>
      <w:r w:rsidRPr="004E1738">
        <w:rPr>
          <w:rStyle w:val="FootnoteReference"/>
          <w:b w:val="0"/>
          <w:spacing w:val="-2"/>
          <w:sz w:val="24"/>
          <w:szCs w:val="22"/>
        </w:rPr>
        <w:footnoteReference w:id="44"/>
      </w:r>
      <w:r w:rsidRPr="004E1738">
        <w:rPr>
          <w:b w:val="0"/>
          <w:spacing w:val="-2"/>
          <w:sz w:val="24"/>
          <w:szCs w:val="22"/>
        </w:rPr>
        <w:t xml:space="preserve"> Dumnezeu ne ajută trimiţând “voia lui cea gata de ajutor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ca să slujim cu multă plăcere poruncile Sale slăvite”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45"/>
      </w:r>
      <w:r w:rsidRPr="004E1738">
        <w:rPr>
          <w:b w:val="0"/>
          <w:spacing w:val="-2"/>
          <w:sz w:val="24"/>
          <w:szCs w:val="22"/>
        </w:rPr>
        <w:t>, însă efortul ascetic e indispensabil: “Omul nu poate primi pecetea virtuţii lui Dumnezeu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sau pecetea frumuseţii dumnezeieşti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dacă nu e cercat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&gt;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prin dureri şi neputinţe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omul trebuie să stăruiască prin smerenie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ώ</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în chipul desăvârşirii”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46"/>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Cs w:val="0"/>
          <w:i/>
          <w:spacing w:val="-2"/>
          <w:szCs w:val="24"/>
        </w:rPr>
      </w:pPr>
      <w:r w:rsidRPr="004E1738">
        <w:rPr>
          <w:bCs w:val="0"/>
          <w:i/>
          <w:spacing w:val="-2"/>
          <w:szCs w:val="24"/>
        </w:rPr>
        <w:t>Concluzii</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Gândurile duhovniceşti izvorăsc aşadar din harul ascuns în însăşi inima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sym w:font="WP Greek Century" w:char="F0D8"/>
      </w:r>
      <w:r w:rsidRPr="004E1738">
        <w:rPr>
          <w:rFonts w:ascii="WP Greek Century" w:hAnsi="WP Greek Century"/>
          <w:b w:val="0"/>
          <w:spacing w:val="-2"/>
          <w:sz w:val="24"/>
          <w:szCs w:val="22"/>
        </w:rPr>
        <w:t></w:t>
      </w:r>
      <w:r w:rsidRPr="004E1738">
        <w:rPr>
          <w:b w:val="0"/>
          <w:spacing w:val="-2"/>
          <w:sz w:val="24"/>
          <w:szCs w:val="22"/>
        </w:rPr>
        <w:t xml:space="preserve">-ul) omului, în structurile sale cerebrale, fie direct din har, fie mediat prin chipurile duhovniceşti contemplate. În ambele cazuri sunt produse chiar în minte fiind, însă, percepute la nivelul afectivităţii superioare, ca unificări ale simţirii minţii, ca descoperiri treptate ale lucrării harului ascuns de </w:t>
      </w:r>
      <w:smartTag w:uri="urn:schemas-microsoft-com:office:smarttags" w:element="PersonName">
        <w:smartTagPr>
          <w:attr w:name="ProductID" w:val="la Botez"/>
        </w:smartTagPr>
        <w:r w:rsidRPr="004E1738">
          <w:rPr>
            <w:b w:val="0"/>
            <w:spacing w:val="-2"/>
            <w:sz w:val="24"/>
            <w:szCs w:val="22"/>
          </w:rPr>
          <w:t>la Botez</w:t>
        </w:r>
      </w:smartTag>
      <w:r w:rsidRPr="004E1738">
        <w:rPr>
          <w:b w:val="0"/>
          <w:spacing w:val="-2"/>
          <w:sz w:val="24"/>
          <w:szCs w:val="22"/>
        </w:rPr>
        <w:t xml:space="preserve"> în minte.</w:t>
      </w:r>
      <w:r w:rsidRPr="004E1738">
        <w:rPr>
          <w:b w:val="0"/>
          <w:color w:val="0000FF"/>
          <w:spacing w:val="-2"/>
          <w:sz w:val="24"/>
          <w:szCs w:val="22"/>
        </w:rPr>
        <w:t xml:space="preserve"> </w:t>
      </w:r>
      <w:r w:rsidRPr="004E1738">
        <w:rPr>
          <w:b w:val="0"/>
          <w:spacing w:val="-2"/>
          <w:sz w:val="24"/>
          <w:szCs w:val="22"/>
        </w:rPr>
        <w:t>Ele se formează şi lucrează, spre deosebire de gândurile demonice, mult mai în adâncul acestei simţiri fine a minţii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ca funcţia spirituală cea mai apropiată de însăşi inima (anima) omului, de</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-ul transcendent</w:t>
      </w:r>
      <w:r w:rsidRPr="004E1738">
        <w:rPr>
          <w:rFonts w:ascii="Symbol" w:hAnsi="Symbol"/>
          <w:b w:val="0"/>
          <w:spacing w:val="-2"/>
          <w:sz w:val="24"/>
          <w:szCs w:val="22"/>
        </w:rPr>
        <w:t></w:t>
      </w:r>
      <w:r w:rsidRPr="004E1738">
        <w:rPr>
          <w:rFonts w:ascii="Symbol" w:hAnsi="Symbol"/>
          <w:b w:val="0"/>
          <w:spacing w:val="-2"/>
          <w:sz w:val="24"/>
          <w:szCs w:val="22"/>
        </w:rPr>
        <w:t></w:t>
      </w:r>
      <w:r w:rsidRPr="004E1738">
        <w:rPr>
          <w:b w:val="0"/>
          <w:spacing w:val="-2"/>
          <w:sz w:val="24"/>
          <w:szCs w:val="22"/>
        </w:rPr>
        <w:t xml:space="preserve">la care demonii, am văzut, acced doar prin ispite, prin săgeţile sau impulsurile purtătoare ale </w:t>
      </w:r>
      <w:r w:rsidRPr="004E1738">
        <w:rPr>
          <w:b w:val="0"/>
          <w:spacing w:val="-2"/>
          <w:sz w:val="24"/>
          <w:szCs w:val="22"/>
        </w:rPr>
        <w:lastRenderedPageBreak/>
        <w:t>lucrărilor sau energiilor lor.</w:t>
      </w:r>
      <w:r w:rsidRPr="004E1738">
        <w:rPr>
          <w:rStyle w:val="FootnoteReference"/>
          <w:b w:val="0"/>
          <w:spacing w:val="-2"/>
          <w:sz w:val="24"/>
          <w:szCs w:val="22"/>
        </w:rPr>
        <w:footnoteReference w:id="47"/>
      </w:r>
      <w:r w:rsidRPr="004E1738">
        <w:rPr>
          <w:b w:val="0"/>
          <w:spacing w:val="-2"/>
          <w:sz w:val="24"/>
          <w:szCs w:val="22"/>
        </w:rPr>
        <w:t xml:space="preserve"> Sfântul Diadoh preia şi dezvoltă, în această privinţă, concepţia lui Evagrie Ponticul afirmând împreună cu el că “Domnul nu strecoară în minte gânduri, înţelesuri sau vederi prin schimbări în starea trupului precum fac demonii, ci coborându-se în mintea însăşi, aşază în ea cunoştinţa celor ce le vrea, şi prin minte linişteşte neînfrânarea trupului”.</w:t>
      </w:r>
      <w:r w:rsidRPr="004E1738">
        <w:rPr>
          <w:rStyle w:val="FootnoteReference"/>
          <w:b w:val="0"/>
          <w:spacing w:val="-2"/>
          <w:sz w:val="24"/>
          <w:szCs w:val="22"/>
        </w:rPr>
        <w:footnoteReference w:id="48"/>
      </w:r>
      <w:r w:rsidRPr="004E1738">
        <w:rPr>
          <w:b w:val="0"/>
          <w:spacing w:val="-2"/>
          <w:sz w:val="24"/>
          <w:szCs w:val="22"/>
        </w:rPr>
        <w:t xml:space="preserve"> Sfântul Diadoh identifică “simţurile mai de dinafară ale inimii”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ώ</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cu “partea pătimitoare a sufletului”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49"/>
      </w:r>
      <w:r w:rsidRPr="004E1738">
        <w:rPr>
          <w:b w:val="0"/>
          <w:spacing w:val="-2"/>
          <w:sz w:val="24"/>
          <w:szCs w:val="22"/>
        </w:rPr>
        <w:t xml:space="preserve"> care, prin arderea patimilor sau uscarea umoralităţii din ea de către focul sfântului har, devine mai imună faţă de cursele şi ispitirile demonilor.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Harul e cel ce îl ajută pe nevoitor în orice moment al urcuşului ascetic şi din reliefarea acestui aspect reiese răspunsul pe care Sfântul Diadoh îl adresează ereticilor messalieni care, negând eficacitatea Sfintelor Taine, afirmau că harul vine doar de pe urma efortului ascetic, a rugăciunii îndeosebi.</w:t>
      </w:r>
      <w:r w:rsidRPr="004E1738">
        <w:rPr>
          <w:rStyle w:val="FootnoteReference"/>
          <w:b w:val="0"/>
          <w:spacing w:val="-2"/>
          <w:sz w:val="24"/>
          <w:szCs w:val="22"/>
        </w:rPr>
        <w:footnoteReference w:id="50"/>
      </w:r>
      <w:r w:rsidRPr="004E1738">
        <w:rPr>
          <w:b w:val="0"/>
          <w:spacing w:val="-2"/>
          <w:sz w:val="24"/>
          <w:szCs w:val="22"/>
        </w:rPr>
        <w:t xml:space="preserve"> Harul e cel ce are întâietatea pentru că virtuţile, aşa cum am văzut, se nasc tocmai din seminţele semănate de el în suflet. “Harul… înfloreşte o virtute prin alta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şi înalţă chipul sufletului din strălucire în strălucire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dăruindu-i pecetea asemănării”</w:t>
      </w:r>
      <w:r w:rsidRPr="004E1738">
        <w:rPr>
          <w:rStyle w:val="FootnoteReference"/>
          <w:b w:val="0"/>
          <w:spacing w:val="-2"/>
          <w:sz w:val="24"/>
          <w:szCs w:val="22"/>
        </w:rPr>
        <w:footnoteReference w:id="51"/>
      </w:r>
      <w:r w:rsidRPr="004E1738">
        <w:rPr>
          <w:b w:val="0"/>
          <w:spacing w:val="-2"/>
          <w:sz w:val="24"/>
          <w:szCs w:val="22"/>
        </w:rPr>
        <w:t xml:space="preserve"> pe măsură ce îşi dăruieşte efortul său spre a fi ajutat de har. Prin acest ajutor omul devine liber interior, pentru că harul primit prin virtuţi unifică şi împlineşte toate funcţiile sufleteşti ce-l împărţeau. Sufletul nu se mai simte îngreunat ci “umblă de aici cu bucurie pe toate cărările virtuţii”</w:t>
      </w:r>
      <w:r w:rsidRPr="004E1738">
        <w:rPr>
          <w:rStyle w:val="FootnoteReference"/>
          <w:b w:val="0"/>
          <w:spacing w:val="-2"/>
          <w:sz w:val="24"/>
          <w:szCs w:val="22"/>
        </w:rPr>
        <w:footnoteReference w:id="52"/>
      </w:r>
      <w:r w:rsidRPr="004E1738">
        <w:rPr>
          <w:b w:val="0"/>
          <w:spacing w:val="-2"/>
          <w:sz w:val="24"/>
          <w:szCs w:val="22"/>
        </w:rPr>
        <w:t>, iar simţirea devine neîmpărţită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Duhul Sfânt ridicând simţirea pătimaşă a firii şi unind-o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cu cea raţională</w:t>
      </w:r>
      <w:r w:rsidRPr="004E1738">
        <w:rPr>
          <w:rStyle w:val="FootnoteReference"/>
          <w:b w:val="0"/>
          <w:spacing w:val="-2"/>
          <w:sz w:val="24"/>
          <w:szCs w:val="22"/>
        </w:rPr>
        <w:footnoteReference w:id="53"/>
      </w:r>
      <w:r w:rsidRPr="004E1738">
        <w:rPr>
          <w:b w:val="0"/>
          <w:spacing w:val="-2"/>
          <w:sz w:val="24"/>
          <w:szCs w:val="22"/>
        </w:rPr>
        <w:t>. Se atinge astfel starea de plinătate a virtuţii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în care harul nu mai iluminează numai inima, ci “toată firea printr-o oarecare simţire mai adâncă, încălzindu-l spre o mai mare iubire de Dumnezeu”.</w:t>
      </w:r>
      <w:r w:rsidRPr="004E1738">
        <w:rPr>
          <w:rStyle w:val="FootnoteReference"/>
          <w:b w:val="0"/>
          <w:spacing w:val="-2"/>
          <w:sz w:val="24"/>
          <w:szCs w:val="22"/>
        </w:rPr>
        <w:footnoteReference w:id="54"/>
      </w:r>
      <w:r w:rsidRPr="004E1738">
        <w:rPr>
          <w:b w:val="0"/>
          <w:spacing w:val="-2"/>
          <w:sz w:val="24"/>
          <w:szCs w:val="22"/>
        </w:rPr>
        <w:t xml:space="preserve"> Sufletul e atras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aşa cum spune Sfântul Diadoh, “la iubirea puternică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slavei” lui Dumnezeu</w:t>
      </w:r>
      <w:r w:rsidRPr="004E1738">
        <w:rPr>
          <w:rStyle w:val="FootnoteReference"/>
          <w:b w:val="0"/>
          <w:spacing w:val="-2"/>
          <w:sz w:val="24"/>
          <w:szCs w:val="22"/>
        </w:rPr>
        <w:footnoteReference w:id="55"/>
      </w:r>
      <w:r w:rsidRPr="004E1738">
        <w:rPr>
          <w:b w:val="0"/>
          <w:spacing w:val="-2"/>
          <w:sz w:val="24"/>
          <w:szCs w:val="22"/>
        </w:rPr>
        <w:t>, deci nu numai mintea,</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-ul, ci şi simţurile trupeşti care vor deveni imune faţă de ispitele demonice. “Săgeţile drăceşti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se vor stinge în afară de simţirea trupului”</w:t>
      </w:r>
      <w:r w:rsidRPr="004E1738">
        <w:rPr>
          <w:rStyle w:val="FootnoteReference"/>
          <w:b w:val="0"/>
          <w:spacing w:val="-2"/>
          <w:sz w:val="24"/>
          <w:szCs w:val="22"/>
        </w:rPr>
        <w:footnoteReference w:id="56"/>
      </w:r>
      <w:r w:rsidRPr="004E1738">
        <w:rPr>
          <w:b w:val="0"/>
          <w:spacing w:val="-2"/>
          <w:sz w:val="24"/>
          <w:szCs w:val="22"/>
        </w:rPr>
        <w:t>. E starea de virtute, de dragoste desăvârşită în care în minte nu mai există nici o judecată, în care nu mai există nici măcar “gândul vreunei temeri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ci o ardere neîncetată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şi o alipire </w:t>
      </w:r>
      <w:r w:rsidRPr="004E1738">
        <w:rPr>
          <w:b w:val="0"/>
          <w:spacing w:val="-2"/>
          <w:sz w:val="24"/>
          <w:szCs w:val="22"/>
        </w:rPr>
        <w:lastRenderedPageBreak/>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sufletului de Dumnezeu, prin lucrarea Duhului Sfânt”</w:t>
      </w:r>
      <w:r w:rsidRPr="004E1738">
        <w:rPr>
          <w:rStyle w:val="FootnoteReference"/>
          <w:b w:val="0"/>
          <w:spacing w:val="-2"/>
          <w:sz w:val="24"/>
          <w:szCs w:val="22"/>
        </w:rPr>
        <w:footnoteReference w:id="57"/>
      </w:r>
      <w:r w:rsidRPr="004E1738">
        <w:rPr>
          <w:b w:val="0"/>
          <w:spacing w:val="-2"/>
          <w:sz w:val="24"/>
          <w:szCs w:val="22"/>
        </w:rPr>
        <w:t xml:space="preserve">. Însă la această stare a desăvârşirii duhovniceşti se ajunge prin nevoinţele ascetice ce aduc harul divin în suflet.  </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snapToGrid w:val="0"/>
          <w:spacing w:val="-2"/>
          <w:szCs w:val="24"/>
        </w:rPr>
      </w:pPr>
      <w:r w:rsidRPr="004E1738">
        <w:rPr>
          <w:spacing w:val="-2"/>
          <w:szCs w:val="24"/>
        </w:rPr>
        <w:t xml:space="preserve"> Nevoinţele duhovniceşti şi virtuţile îmbrăcate prin acestea</w:t>
      </w:r>
    </w:p>
    <w:p w:rsidR="004E1738" w:rsidRPr="004E1738" w:rsidRDefault="004E1738" w:rsidP="004E1738">
      <w:pPr>
        <w:pStyle w:val="BodyTextIndent"/>
        <w:spacing w:line="276" w:lineRule="auto"/>
        <w:rPr>
          <w:b w:val="0"/>
          <w:snapToGrid w:val="0"/>
          <w:spacing w:val="-2"/>
          <w:sz w:val="24"/>
          <w:szCs w:val="22"/>
        </w:rPr>
      </w:pPr>
    </w:p>
    <w:p w:rsidR="004E1738" w:rsidRPr="004E1738" w:rsidRDefault="004E1738" w:rsidP="004E1738">
      <w:pPr>
        <w:pStyle w:val="BodyTextIndent"/>
        <w:spacing w:line="276" w:lineRule="auto"/>
        <w:rPr>
          <w:b w:val="0"/>
          <w:snapToGrid w:val="0"/>
          <w:spacing w:val="-2"/>
          <w:sz w:val="24"/>
          <w:szCs w:val="22"/>
        </w:rPr>
      </w:pPr>
      <w:r w:rsidRPr="004E1738">
        <w:rPr>
          <w:b w:val="0"/>
          <w:snapToGrid w:val="0"/>
          <w:spacing w:val="-2"/>
          <w:sz w:val="24"/>
          <w:szCs w:val="22"/>
        </w:rPr>
        <w:t>Descrierea stării de împătimire a sufletului a reliefat importanţa ce o are, în producerea acesteia, ataşarea omului faţă de lume, înrobirea sa spirituală prin grijile, risipirea şi întunecarea minţii produse prin această ataşare, toate celelalte patimi iraţionale trupeşti şi sufleteşti fiind de fapt manifestări concrete ale acestei raportări greşite faţă de lume. De aici rezultă şi importanţa deosebită ce o atribuie Sfântul Diadoh lepădării de lume ca practică şi atitudine spirituală esenţială vieţii şi edificării duhovniceşti. Însă, deşi “înfrânarea (de la lume) este numele de obşte care se adaugă la numele tuturor virtuţilor”, pentru integralitatea vieţii virtuoase Sfântul Diadoh subliniază necesitatea imperioasă a “iubirii ostenirii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xml:space="preserve">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atât pentru virtuţile trupeşti” (postul, privegherea, etc.)</w:t>
      </w:r>
      <w:r w:rsidRPr="004E1738">
        <w:rPr>
          <w:rStyle w:val="FootnoteReference"/>
          <w:b w:val="0"/>
          <w:snapToGrid w:val="0"/>
          <w:spacing w:val="-2"/>
          <w:sz w:val="24"/>
          <w:szCs w:val="22"/>
        </w:rPr>
        <w:footnoteReference w:id="58"/>
      </w:r>
      <w:r w:rsidRPr="004E1738">
        <w:rPr>
          <w:b w:val="0"/>
          <w:snapToGrid w:val="0"/>
          <w:spacing w:val="-2"/>
          <w:sz w:val="24"/>
          <w:szCs w:val="22"/>
        </w:rPr>
        <w:t>, cât şi pentru cele sufleteşti sau duhovniceşti, cum sunt “ascultarea”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“răbdarea necazurilor” pentru întărirea desăvârşită a virtuţilor în suflet şi “mai ales dragostea”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έ</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însoţită de credinţă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şi nădejde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ce trebuie să “premeargă” împreună “oricărei vederi (contemplaţii) duhovniceşti”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w:t>
      </w:r>
      <w:r w:rsidRPr="004E1738">
        <w:rPr>
          <w:rStyle w:val="FootnoteReference"/>
          <w:b w:val="0"/>
          <w:snapToGrid w:val="0"/>
          <w:spacing w:val="-2"/>
          <w:sz w:val="24"/>
          <w:szCs w:val="22"/>
        </w:rPr>
        <w:footnoteReference w:id="59"/>
      </w:r>
    </w:p>
    <w:p w:rsidR="004E1738" w:rsidRPr="004E1738" w:rsidRDefault="004E1738" w:rsidP="004E1738">
      <w:pPr>
        <w:pStyle w:val="BodyTextIndent"/>
        <w:spacing w:line="276" w:lineRule="auto"/>
        <w:rPr>
          <w:b w:val="0"/>
          <w:snapToGrid w:val="0"/>
          <w:spacing w:val="-2"/>
          <w:sz w:val="24"/>
          <w:szCs w:val="22"/>
        </w:rPr>
      </w:pPr>
      <w:r w:rsidRPr="004E1738">
        <w:rPr>
          <w:b w:val="0"/>
          <w:snapToGrid w:val="0"/>
          <w:spacing w:val="-2"/>
          <w:sz w:val="24"/>
          <w:szCs w:val="22"/>
        </w:rPr>
        <w:t>Sfântul Diadoh distinge, aşadar, în acest urcuş spre desăvârşire între virtuţile trupeşti şi cele sufleteşti, schiţând o ordine sau înşiruire specifică a lor şi cerând imperios exersarea ascetului în ambele. “Se cuvine, spune el, să ne ostenim nu numai pentru virtuţile trupeşti, ci şi pentru cele care pot curăţi omul nostru lăuntric”.</w:t>
      </w:r>
      <w:r w:rsidRPr="004E1738">
        <w:rPr>
          <w:rStyle w:val="FootnoteReference"/>
          <w:b w:val="0"/>
          <w:snapToGrid w:val="0"/>
          <w:spacing w:val="-2"/>
          <w:sz w:val="24"/>
          <w:szCs w:val="22"/>
        </w:rPr>
        <w:footnoteReference w:id="60"/>
      </w:r>
      <w:r w:rsidRPr="004E1738">
        <w:rPr>
          <w:b w:val="0"/>
          <w:snapToGrid w:val="0"/>
          <w:spacing w:val="-2"/>
          <w:sz w:val="24"/>
          <w:szCs w:val="22"/>
        </w:rPr>
        <w:t xml:space="preserve"> Din acest punct de vedere spiritualitatea sa, în întregul ei, e un “martiriu al conştiinţei”, practicat prin tensiunea sufletească continuă, ce animă, prin echilibrul dintre mânia virtuoasă pe de o parte şi frică şi dorinţă pe de alta, ca energii sufleteşti exprimând partea pasională irascibilă şi poftitoare a sufletului, dinamismul şi cumpătarea efortului ascetic, în vederea atingerii stării de goliciune adamică nevinovată, de reîmbrăcare în har şi de comuniune deplină cu Dumnezeu prin depăşirea oricărei înşelăciuni demonice datorate exceselor ascetice şi slavei deşarte. </w:t>
      </w:r>
    </w:p>
    <w:p w:rsidR="005B5CD6" w:rsidRDefault="002F52D4" w:rsidP="004E1738">
      <w:pPr>
        <w:spacing w:line="276" w:lineRule="auto"/>
        <w:rPr>
          <w:sz w:val="22"/>
        </w:rPr>
      </w:pPr>
    </w:p>
    <w:p w:rsidR="004E1738" w:rsidRDefault="004E1738" w:rsidP="004E1738">
      <w:pPr>
        <w:spacing w:line="276" w:lineRule="auto"/>
        <w:rPr>
          <w:sz w:val="22"/>
        </w:rPr>
      </w:pPr>
    </w:p>
    <w:p w:rsidR="004E1738" w:rsidRPr="004E1738" w:rsidRDefault="004E1738" w:rsidP="004E1738">
      <w:pPr>
        <w:spacing w:line="276" w:lineRule="auto"/>
        <w:ind w:firstLine="720"/>
        <w:jc w:val="both"/>
        <w:rPr>
          <w:b/>
          <w:bCs/>
          <w:i/>
          <w:spacing w:val="-2"/>
          <w:sz w:val="28"/>
          <w:szCs w:val="24"/>
        </w:rPr>
      </w:pPr>
      <w:r w:rsidRPr="004E1738">
        <w:rPr>
          <w:b/>
          <w:bCs/>
          <w:i/>
          <w:spacing w:val="-2"/>
          <w:sz w:val="28"/>
          <w:szCs w:val="24"/>
        </w:rPr>
        <w:t>Cetatea şi Veşmântul virtuţilor – nepătimirea</w:t>
      </w:r>
    </w:p>
    <w:p w:rsidR="004E1738" w:rsidRPr="004E1738" w:rsidRDefault="004E1738" w:rsidP="004E1738">
      <w:pPr>
        <w:spacing w:line="276" w:lineRule="auto"/>
        <w:ind w:firstLine="720"/>
        <w:jc w:val="both"/>
        <w:rPr>
          <w:spacing w:val="-2"/>
          <w:sz w:val="28"/>
          <w:szCs w:val="24"/>
        </w:rPr>
      </w:pPr>
    </w:p>
    <w:p w:rsidR="004E1738" w:rsidRPr="004E1738" w:rsidRDefault="004E1738" w:rsidP="004E1738">
      <w:pPr>
        <w:spacing w:line="276" w:lineRule="auto"/>
        <w:ind w:firstLine="720"/>
        <w:jc w:val="both"/>
        <w:rPr>
          <w:bCs/>
          <w:spacing w:val="-2"/>
          <w:sz w:val="24"/>
          <w:szCs w:val="22"/>
        </w:rPr>
      </w:pPr>
      <w:r w:rsidRPr="004E1738">
        <w:rPr>
          <w:bCs/>
          <w:spacing w:val="-2"/>
          <w:sz w:val="24"/>
          <w:szCs w:val="22"/>
        </w:rPr>
        <w:t>Pentru descrierea stării de nepătimire Sfântul Diadoh foloseşte câteva expresii destul de întâlnite în epocă şi în tradiţia ascetică anterioară lui, anume cele ale „vieţii nestricăcioase”</w:t>
      </w:r>
      <w:r w:rsidRPr="004E1738">
        <w:rPr>
          <w:rStyle w:val="FootnoteReference"/>
          <w:bCs/>
          <w:spacing w:val="-2"/>
          <w:sz w:val="24"/>
          <w:szCs w:val="22"/>
        </w:rPr>
        <w:footnoteReference w:id="61"/>
      </w:r>
      <w:r w:rsidRPr="004E1738">
        <w:rPr>
          <w:bCs/>
          <w:spacing w:val="-2"/>
          <w:sz w:val="24"/>
          <w:szCs w:val="22"/>
        </w:rPr>
        <w:t xml:space="preserve">, </w:t>
      </w:r>
      <w:r w:rsidRPr="004E1738">
        <w:rPr>
          <w:bCs/>
          <w:spacing w:val="-2"/>
          <w:sz w:val="24"/>
          <w:szCs w:val="22"/>
        </w:rPr>
        <w:lastRenderedPageBreak/>
        <w:t>„curăţiei”</w:t>
      </w:r>
      <w:r w:rsidRPr="004E1738">
        <w:rPr>
          <w:rStyle w:val="FootnoteReference"/>
          <w:bCs/>
          <w:spacing w:val="-2"/>
          <w:sz w:val="24"/>
          <w:szCs w:val="22"/>
        </w:rPr>
        <w:footnoteReference w:id="62"/>
      </w:r>
      <w:r w:rsidRPr="004E1738">
        <w:rPr>
          <w:bCs/>
          <w:spacing w:val="-2"/>
          <w:sz w:val="24"/>
          <w:szCs w:val="22"/>
        </w:rPr>
        <w:t xml:space="preserve"> sau „înfrânării”</w:t>
      </w:r>
      <w:r w:rsidRPr="004E1738">
        <w:rPr>
          <w:rStyle w:val="FootnoteReference"/>
          <w:bCs/>
          <w:spacing w:val="-2"/>
          <w:sz w:val="24"/>
          <w:szCs w:val="22"/>
        </w:rPr>
        <w:footnoteReference w:id="63"/>
      </w:r>
      <w:r w:rsidRPr="004E1738">
        <w:rPr>
          <w:bCs/>
          <w:spacing w:val="-2"/>
          <w:sz w:val="24"/>
          <w:szCs w:val="22"/>
        </w:rPr>
        <w:t>, ca stări ale purificării, stăpânirii şi desăvârşirii sufletului, alături de imaginile „căii virtuţii”</w:t>
      </w:r>
      <w:r w:rsidRPr="004E1738">
        <w:rPr>
          <w:rStyle w:val="FootnoteReference"/>
          <w:bCs/>
          <w:spacing w:val="-2"/>
          <w:sz w:val="24"/>
          <w:szCs w:val="22"/>
        </w:rPr>
        <w:footnoteReference w:id="64"/>
      </w:r>
      <w:r w:rsidRPr="004E1738">
        <w:rPr>
          <w:bCs/>
          <w:spacing w:val="-2"/>
          <w:sz w:val="24"/>
          <w:szCs w:val="22"/>
        </w:rPr>
        <w:t xml:space="preserve"> sau evlaviei sau dreptăţii</w:t>
      </w:r>
      <w:r w:rsidRPr="004E1738">
        <w:rPr>
          <w:rStyle w:val="FootnoteReference"/>
          <w:bCs/>
          <w:spacing w:val="-2"/>
          <w:sz w:val="24"/>
          <w:szCs w:val="22"/>
        </w:rPr>
        <w:footnoteReference w:id="65"/>
      </w:r>
      <w:r w:rsidRPr="004E1738">
        <w:rPr>
          <w:bCs/>
          <w:spacing w:val="-2"/>
          <w:sz w:val="24"/>
          <w:szCs w:val="22"/>
        </w:rPr>
        <w:t>, a „cetăţii sau casei</w:t>
      </w:r>
      <w:r w:rsidRPr="004E1738">
        <w:rPr>
          <w:rStyle w:val="FootnoteReference"/>
          <w:bCs/>
          <w:spacing w:val="-2"/>
          <w:sz w:val="24"/>
          <w:szCs w:val="22"/>
        </w:rPr>
        <w:footnoteReference w:id="66"/>
      </w:r>
      <w:r w:rsidRPr="004E1738">
        <w:rPr>
          <w:bCs/>
          <w:spacing w:val="-2"/>
          <w:sz w:val="24"/>
          <w:szCs w:val="22"/>
        </w:rPr>
        <w:t xml:space="preserve"> virtuţilor sau curăţiei” având în ea Duhul Sfânt ce o transformă în templu – atelier al mântuirii</w:t>
      </w:r>
      <w:r w:rsidRPr="004E1738">
        <w:rPr>
          <w:rStyle w:val="FootnoteReference"/>
          <w:bCs/>
          <w:spacing w:val="-2"/>
          <w:sz w:val="24"/>
          <w:szCs w:val="22"/>
        </w:rPr>
        <w:footnoteReference w:id="67"/>
      </w:r>
      <w:r w:rsidRPr="004E1738">
        <w:rPr>
          <w:bCs/>
          <w:spacing w:val="-2"/>
          <w:sz w:val="24"/>
          <w:szCs w:val="22"/>
        </w:rPr>
        <w:t xml:space="preserve"> şi, de asemenea a „veşmântului luminos al armelor Duhului sau ale sfintei lumini şi al virtuţilor”</w:t>
      </w:r>
      <w:r w:rsidRPr="004E1738">
        <w:rPr>
          <w:rStyle w:val="FootnoteReference"/>
          <w:bCs/>
          <w:spacing w:val="-2"/>
          <w:sz w:val="24"/>
          <w:szCs w:val="22"/>
        </w:rPr>
        <w:footnoteReference w:id="68"/>
      </w:r>
      <w:r w:rsidRPr="004E1738">
        <w:rPr>
          <w:bCs/>
          <w:spacing w:val="-2"/>
          <w:sz w:val="24"/>
          <w:szCs w:val="22"/>
        </w:rPr>
        <w:t xml:space="preserve"> echivalent al „goliciunii nevinovate adamice”</w:t>
      </w:r>
      <w:r w:rsidRPr="004E1738">
        <w:rPr>
          <w:rStyle w:val="FootnoteReference"/>
          <w:bCs/>
          <w:spacing w:val="-2"/>
          <w:sz w:val="24"/>
          <w:szCs w:val="22"/>
        </w:rPr>
        <w:footnoteReference w:id="69"/>
      </w:r>
      <w:r w:rsidRPr="004E1738">
        <w:rPr>
          <w:bCs/>
          <w:spacing w:val="-2"/>
          <w:sz w:val="24"/>
          <w:szCs w:val="22"/>
        </w:rPr>
        <w:t>, toate aceste imagini evocând starea de “asemănare cu virtutea lui Dumnezeu”</w:t>
      </w:r>
      <w:r w:rsidRPr="004E1738">
        <w:rPr>
          <w:rStyle w:val="FootnoteReference"/>
          <w:bCs/>
          <w:spacing w:val="-2"/>
          <w:sz w:val="24"/>
          <w:szCs w:val="22"/>
        </w:rPr>
        <w:footnoteReference w:id="70"/>
      </w:r>
      <w:r w:rsidRPr="004E1738">
        <w:rPr>
          <w:bCs/>
          <w:spacing w:val="-2"/>
          <w:sz w:val="24"/>
          <w:szCs w:val="22"/>
        </w:rPr>
        <w:t xml:space="preserve"> identificată cu trăirea dragostei dumnezeieşti sălăşluite deplin în inima sau în partea cea mai profundă a sufletului-cetate a virtuţilor ascetului, izgonind şi înlocuind diavolul ce-şi avea sălaş aici înainte de Botez. </w:t>
      </w:r>
    </w:p>
    <w:p w:rsidR="004E1738" w:rsidRPr="004E1738" w:rsidRDefault="004E1738" w:rsidP="004E1738">
      <w:pPr>
        <w:spacing w:line="276" w:lineRule="auto"/>
        <w:ind w:firstLine="720"/>
        <w:jc w:val="both"/>
        <w:rPr>
          <w:spacing w:val="-2"/>
          <w:sz w:val="24"/>
          <w:szCs w:val="22"/>
        </w:rPr>
      </w:pPr>
      <w:r w:rsidRPr="004E1738">
        <w:rPr>
          <w:spacing w:val="-2"/>
          <w:sz w:val="24"/>
          <w:szCs w:val="22"/>
        </w:rPr>
        <w:t>Înţelegerea acestor expresii şi imagini ale învăţăturii Sfântului Diadoh despre nepătimire ca ţel şi treaptă a „căii virtuţii sau evlaviei“ spre desăvârşire, esenţială pentru definirea spiritualităţii sale, trebuie dedusă din contextul disputelor epocii sale, messalianismul</w:t>
      </w:r>
      <w:r w:rsidRPr="004E1738">
        <w:rPr>
          <w:rStyle w:val="FootnoteReference"/>
          <w:spacing w:val="-2"/>
          <w:sz w:val="24"/>
          <w:szCs w:val="22"/>
        </w:rPr>
        <w:footnoteReference w:id="71"/>
      </w:r>
      <w:r w:rsidRPr="004E1738">
        <w:rPr>
          <w:spacing w:val="-2"/>
          <w:sz w:val="24"/>
          <w:szCs w:val="22"/>
        </w:rPr>
        <w:t xml:space="preserve"> şi pelagianismul</w:t>
      </w:r>
      <w:r w:rsidRPr="004E1738">
        <w:rPr>
          <w:rStyle w:val="FootnoteReference"/>
          <w:spacing w:val="-2"/>
          <w:sz w:val="24"/>
          <w:szCs w:val="22"/>
        </w:rPr>
        <w:footnoteReference w:id="72"/>
      </w:r>
      <w:r w:rsidRPr="004E1738">
        <w:rPr>
          <w:spacing w:val="-2"/>
          <w:sz w:val="24"/>
          <w:szCs w:val="22"/>
        </w:rPr>
        <w:t xml:space="preserve"> tributare concepţiei filosofice stoice despre nepătimire, la care Sfântul Diadoh face, de altfel, aluzie</w:t>
      </w:r>
      <w:r w:rsidRPr="004E1738">
        <w:rPr>
          <w:rStyle w:val="FootnoteReference"/>
          <w:spacing w:val="-2"/>
          <w:sz w:val="24"/>
          <w:szCs w:val="22"/>
        </w:rPr>
        <w:footnoteReference w:id="73"/>
      </w:r>
      <w:r w:rsidRPr="004E1738">
        <w:rPr>
          <w:spacing w:val="-2"/>
          <w:sz w:val="24"/>
          <w:szCs w:val="22"/>
        </w:rPr>
        <w:t>, cărora le răspunde şi în care au fost implicaţi şi inspiratorii operei sale, Evagrie Ponticul</w:t>
      </w:r>
      <w:r w:rsidRPr="004E1738">
        <w:rPr>
          <w:rStyle w:val="FootnoteReference"/>
          <w:spacing w:val="-2"/>
          <w:sz w:val="24"/>
          <w:szCs w:val="22"/>
        </w:rPr>
        <w:footnoteReference w:id="74"/>
      </w:r>
      <w:r w:rsidRPr="004E1738">
        <w:rPr>
          <w:spacing w:val="-2"/>
          <w:sz w:val="24"/>
          <w:szCs w:val="22"/>
        </w:rPr>
        <w:t>, Marcu Ascetul şi Pseudo-Macarie.</w:t>
      </w:r>
      <w:r w:rsidRPr="004E1738">
        <w:rPr>
          <w:bCs/>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lastRenderedPageBreak/>
        <w:t>Sfântul Diadoh vorbeşte despre înaintarea spre această stare de nepătimire pe “calea virtuţilor”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trăită ea însăşi ca nepătimire de cei “ce au răzbit de mijlocul ei”, anume “de cei ce au supus obiceiului bun obişnuinţa rea prin lucrarea binelui”</w:t>
      </w:r>
      <w:r w:rsidRPr="004E1738">
        <w:rPr>
          <w:rStyle w:val="FootnoteReference"/>
          <w:b w:val="0"/>
          <w:spacing w:val="-2"/>
          <w:sz w:val="24"/>
          <w:szCs w:val="22"/>
        </w:rPr>
        <w:footnoteReference w:id="75"/>
      </w:r>
      <w:r w:rsidRPr="004E1738">
        <w:rPr>
          <w:b w:val="0"/>
          <w:spacing w:val="-2"/>
          <w:sz w:val="24"/>
          <w:szCs w:val="22"/>
        </w:rPr>
        <w:t>. Nepătimirea experimentată după această trecere de mijlocul efortului ascetic, are în concepţia Sfântului Diadoh mai multe trepte, fiind la început o stare relativă de plenitudine a virtuţilor, parcursă de nevoitor într-un proces mai îndelungat şi cu mijloace diferite. Ea continuă şi se realizează în două stări harismatice succesive ale minţii: mai întâi ca “minte cuvântătoare de Dumnezeu” (</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sau teologică, ce se exersează ca gândire discursivă despre Dumnezeu, dobândind “nepătimirea cu timpul şi în măsură potrivită”, şi, mai apoi, ca “minte cunoscătoare”,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gnostică, sau ca minte ce se manifestă deja ca intuiţie mistică “întărită prin experienţă cu lucrul cunoaşterii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ce se ridică mai presus de patimi”.</w:t>
      </w:r>
      <w:r w:rsidRPr="004E1738">
        <w:rPr>
          <w:rStyle w:val="FootnoteReference"/>
          <w:b w:val="0"/>
          <w:spacing w:val="-2"/>
          <w:sz w:val="24"/>
          <w:szCs w:val="22"/>
        </w:rPr>
        <w:footnoteReference w:id="76"/>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Sufletul are încă de la începutul stării de nepătimire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“toate armele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sfintei lumini şi coiful mântuitor</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al tuturor faptelor bune” </w:t>
      </w:r>
      <w:r w:rsidRPr="004E1738">
        <w:rPr>
          <w:b w:val="0"/>
          <w:spacing w:val="-2"/>
          <w:sz w:val="24"/>
          <w:szCs w:val="22"/>
        </w:rPr>
        <w:lastRenderedPageBreak/>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77"/>
      </w:r>
      <w:r w:rsidRPr="004E1738">
        <w:rPr>
          <w:b w:val="0"/>
          <w:spacing w:val="-2"/>
          <w:sz w:val="24"/>
          <w:szCs w:val="22"/>
        </w:rPr>
        <w:t>, cu care luptă încă, însă mult mai uşor. Sfântul Diadoh foloseşte imaginea paulină a ostaşului lui Hristos îmbrăcat cu toate armele Duhului pentru a descrie starea de nepătimire relativă a ascetului ce se luptă folosind aceste arme, într-o „luptă cu puteri egale”, împotriva săgeţilor ispitirilor (prosbolai) diavolului.</w:t>
      </w:r>
      <w:r w:rsidRPr="004E1738">
        <w:rPr>
          <w:rStyle w:val="FootnoteReference"/>
          <w:b w:val="0"/>
          <w:spacing w:val="-2"/>
          <w:sz w:val="24"/>
          <w:szCs w:val="22"/>
        </w:rPr>
        <w:footnoteReference w:id="78"/>
      </w:r>
      <w:r w:rsidRPr="004E1738">
        <w:rPr>
          <w:b w:val="0"/>
          <w:spacing w:val="-2"/>
          <w:sz w:val="24"/>
          <w:szCs w:val="22"/>
        </w:rPr>
        <w:t xml:space="preserve"> Natura spirituală a acestor „arme ale Duhului” (adevărul, platoşa dreptăţii, pavăza credinţei, coiful mântuirii şi sabia Duhului – Cuvântul lui Dumnezeu) le vădesc pe acestea ca elementele inductoare ale trăirilor duhovniceşti pline de virtuţile teologice ce înveşmântează sufletul „cu toate virtuţile” prin folosirea lor spre a păzi „adâncul simţirii minţii”, din care, în cele din urmă, „se va revărsa focul sfântului har şi peste simţurile mai dinafară ale inimii”.</w:t>
      </w:r>
      <w:r w:rsidRPr="004E1738">
        <w:rPr>
          <w:rStyle w:val="FootnoteReference"/>
          <w:b w:val="0"/>
          <w:spacing w:val="-2"/>
          <w:sz w:val="24"/>
          <w:szCs w:val="22"/>
        </w:rPr>
        <w:footnoteReference w:id="79"/>
      </w:r>
      <w:r w:rsidRPr="004E1738">
        <w:rPr>
          <w:b w:val="0"/>
          <w:spacing w:val="-2"/>
          <w:sz w:val="24"/>
          <w:szCs w:val="22"/>
        </w:rPr>
        <w:t xml:space="preserve"> Prin această păzire a simţirii profunde a minţii, echivalentă stării de nepătimire, ascetul reuşeşte cu aceste arme duhovniceşti să-şi păstreze „</w:t>
      </w:r>
      <w:r w:rsidRPr="004E1738">
        <w:rPr>
          <w:b w:val="0"/>
          <w:bCs w:val="0"/>
          <w:spacing w:val="-2"/>
          <w:sz w:val="24"/>
          <w:szCs w:val="22"/>
        </w:rPr>
        <w:t>mişcarea simplă a amintirii”,</w:t>
      </w:r>
      <w:r w:rsidRPr="004E1738">
        <w:rPr>
          <w:b w:val="0"/>
          <w:spacing w:val="-2"/>
          <w:sz w:val="24"/>
          <w:szCs w:val="22"/>
        </w:rPr>
        <w:t xml:space="preserve"> „nerăscolită de către diavolii ce vor, de obicei, să o întipărească în cuget prin simţuri ca năluciri pătimaşe”, cultivând din proprie iniţiativă sau în sinergie cu sfintele puteri „convorbirea şi petrecerea cu Sfinţii”.</w:t>
      </w:r>
      <w:r w:rsidRPr="004E1738">
        <w:rPr>
          <w:rStyle w:val="FootnoteReference"/>
          <w:b w:val="0"/>
          <w:spacing w:val="-2"/>
          <w:sz w:val="24"/>
          <w:szCs w:val="22"/>
        </w:rPr>
        <w:footnoteReference w:id="80"/>
      </w:r>
      <w:r w:rsidRPr="004E1738">
        <w:rPr>
          <w:b w:val="0"/>
          <w:spacing w:val="-2"/>
          <w:sz w:val="24"/>
          <w:szCs w:val="22"/>
        </w:rPr>
        <w:t xml:space="preserve">  </w:t>
      </w:r>
    </w:p>
    <w:p w:rsidR="004E1738" w:rsidRPr="004E1738" w:rsidRDefault="004E1738" w:rsidP="004E1738">
      <w:pPr>
        <w:pStyle w:val="BodyTextIndent"/>
        <w:spacing w:line="276" w:lineRule="auto"/>
        <w:rPr>
          <w:b w:val="0"/>
          <w:bCs w:val="0"/>
          <w:spacing w:val="-2"/>
          <w:sz w:val="24"/>
          <w:szCs w:val="22"/>
        </w:rPr>
      </w:pPr>
      <w:r w:rsidRPr="004E1738">
        <w:rPr>
          <w:b w:val="0"/>
          <w:spacing w:val="-2"/>
          <w:sz w:val="24"/>
          <w:szCs w:val="22"/>
        </w:rPr>
        <w:t>Prin această „mişcare simplă a amintirii” ascetul petrece continuu în propria inimă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umblă în Duh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prin “fortăreaţa întărită a virtuţilor”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OdysseaF" w:hAnsi="OdysseaF"/>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ce lucrează “ca păzitori la porţile cetăţii curăţiei”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81"/>
      </w:r>
      <w:r w:rsidRPr="004E1738">
        <w:rPr>
          <w:b w:val="0"/>
          <w:spacing w:val="-2"/>
          <w:sz w:val="24"/>
          <w:szCs w:val="22"/>
        </w:rPr>
        <w:t>, esenţială pentru atingerea şi rămânerea în această stare de nepătimire fiind „</w:t>
      </w:r>
      <w:r w:rsidRPr="004E1738">
        <w:rPr>
          <w:b w:val="0"/>
          <w:snapToGrid w:val="0"/>
          <w:spacing w:val="-2"/>
          <w:sz w:val="24"/>
          <w:szCs w:val="22"/>
        </w:rPr>
        <w:t>îndulcirea sufletului neîncetat cu frica lui Dumnezeu”</w:t>
      </w:r>
      <w:r w:rsidRPr="004E1738">
        <w:rPr>
          <w:rStyle w:val="FootnoteReference"/>
          <w:b w:val="0"/>
          <w:snapToGrid w:val="0"/>
          <w:spacing w:val="-2"/>
          <w:sz w:val="24"/>
          <w:szCs w:val="22"/>
        </w:rPr>
        <w:footnoteReference w:id="82"/>
      </w:r>
      <w:r w:rsidRPr="004E1738">
        <w:rPr>
          <w:b w:val="0"/>
          <w:snapToGrid w:val="0"/>
          <w:spacing w:val="-2"/>
          <w:sz w:val="24"/>
          <w:szCs w:val="22"/>
        </w:rPr>
        <w:t xml:space="preserve">, ca energie purificatoare. </w:t>
      </w:r>
      <w:r w:rsidRPr="004E1738">
        <w:rPr>
          <w:b w:val="0"/>
          <w:snapToGrid w:val="0"/>
          <w:spacing w:val="-2"/>
          <w:sz w:val="24"/>
          <w:szCs w:val="22"/>
        </w:rPr>
        <w:lastRenderedPageBreak/>
        <w:t xml:space="preserve">Sfântul Diadoh dezvoltă această imagine de origine biblică a nepătimirii ca „cetate a virtuţilor” şi „casă a stăpânului”, pentru a combate eroarea messalienilor şi a </w:t>
      </w:r>
      <w:r w:rsidRPr="004E1738">
        <w:rPr>
          <w:b w:val="0"/>
          <w:i/>
          <w:iCs/>
          <w:snapToGrid w:val="0"/>
          <w:spacing w:val="-2"/>
          <w:sz w:val="24"/>
          <w:szCs w:val="22"/>
        </w:rPr>
        <w:t>Omiliilor pseudo-macariene</w:t>
      </w:r>
      <w:r w:rsidRPr="004E1738">
        <w:rPr>
          <w:b w:val="0"/>
          <w:snapToGrid w:val="0"/>
          <w:spacing w:val="-2"/>
          <w:sz w:val="24"/>
          <w:szCs w:val="22"/>
        </w:rPr>
        <w:t xml:space="preserve"> ce afirmau, în cadrul materialismului lor mistic, existenţa şi petrecerea împreună, concomitentă, în această profunzime a spiritului, a lui Hristos şi a diavolului, ca explicaţie a manifestării cugetelor rele izvorâte din inimă după Botez.</w:t>
      </w:r>
      <w:r w:rsidRPr="004E1738">
        <w:rPr>
          <w:rStyle w:val="FootnoteReference"/>
          <w:b w:val="0"/>
          <w:snapToGrid w:val="0"/>
          <w:spacing w:val="-2"/>
          <w:sz w:val="24"/>
          <w:szCs w:val="22"/>
        </w:rPr>
        <w:footnoteReference w:id="83"/>
      </w:r>
      <w:r w:rsidRPr="004E1738">
        <w:rPr>
          <w:b w:val="0"/>
          <w:snapToGrid w:val="0"/>
          <w:spacing w:val="-2"/>
          <w:sz w:val="24"/>
          <w:szCs w:val="22"/>
        </w:rPr>
        <w:t xml:space="preserve"> Pentru Sfântul Diadoh starea de nepătimire e dată, ca şi la Evagrie</w:t>
      </w:r>
      <w:r w:rsidRPr="004E1738">
        <w:rPr>
          <w:rStyle w:val="FootnoteReference"/>
          <w:b w:val="0"/>
          <w:snapToGrid w:val="0"/>
          <w:spacing w:val="-2"/>
          <w:sz w:val="24"/>
          <w:szCs w:val="22"/>
        </w:rPr>
        <w:footnoteReference w:id="84"/>
      </w:r>
      <w:r w:rsidRPr="004E1738">
        <w:rPr>
          <w:b w:val="0"/>
          <w:snapToGrid w:val="0"/>
          <w:spacing w:val="-2"/>
          <w:sz w:val="24"/>
          <w:szCs w:val="22"/>
        </w:rPr>
        <w:t xml:space="preserve">, de „petrecerea minţii pururea în inima sa” ce face posibilă, ca efort liber al firii umane şi actualizează, astfel, prin acest efort, manifestarea cu putere doar a lui Hristos, ca energie harică sălăşluită de </w:t>
      </w:r>
      <w:smartTag w:uri="urn:schemas-microsoft-com:office:smarttags" w:element="PersonName">
        <w:smartTagPr>
          <w:attr w:name="ProductID" w:val="la Botez"/>
        </w:smartTagPr>
        <w:r w:rsidRPr="004E1738">
          <w:rPr>
            <w:b w:val="0"/>
            <w:snapToGrid w:val="0"/>
            <w:spacing w:val="-2"/>
            <w:sz w:val="24"/>
            <w:szCs w:val="22"/>
          </w:rPr>
          <w:t>la Botez</w:t>
        </w:r>
      </w:smartTag>
      <w:r w:rsidRPr="004E1738">
        <w:rPr>
          <w:b w:val="0"/>
          <w:snapToGrid w:val="0"/>
          <w:spacing w:val="-2"/>
          <w:sz w:val="24"/>
          <w:szCs w:val="22"/>
        </w:rPr>
        <w:t xml:space="preserve"> în inima sau cămara cea mai profundă a minţii </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lang w:val="el-GR"/>
        </w:rPr>
        <w:sym w:font="WP Greek Century" w:char="F0D8"/>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&gt;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b w:val="0"/>
          <w:snapToGrid w:val="0"/>
          <w:spacing w:val="-2"/>
          <w:sz w:val="24"/>
          <w:szCs w:val="22"/>
        </w:rPr>
        <w:t xml:space="preserve">, izgonind şi biruind de aici continuu demonii şi atacurile sau </w:t>
      </w:r>
      <w:r w:rsidRPr="004E1738">
        <w:rPr>
          <w:b w:val="0"/>
          <w:bCs w:val="0"/>
          <w:spacing w:val="-2"/>
          <w:sz w:val="24"/>
          <w:szCs w:val="22"/>
        </w:rPr>
        <w:t xml:space="preserve">săgeţile poftei josnice sau erotice” </w:t>
      </w:r>
      <w:r w:rsidRPr="004E1738">
        <w:rPr>
          <w:b w:val="0"/>
          <w:snapToGrid w:val="0"/>
          <w:spacing w:val="-2"/>
          <w:sz w:val="24"/>
          <w:szCs w:val="22"/>
        </w:rPr>
        <w:t>de la „</w:t>
      </w:r>
      <w:r w:rsidRPr="004E1738">
        <w:rPr>
          <w:b w:val="0"/>
          <w:bCs w:val="0"/>
          <w:spacing w:val="-2"/>
          <w:sz w:val="24"/>
          <w:szCs w:val="22"/>
        </w:rPr>
        <w:t>ferestrele firii”</w:t>
      </w:r>
      <w:r w:rsidRPr="004E1738">
        <w:rPr>
          <w:b w:val="0"/>
          <w:snapToGrid w:val="0"/>
          <w:spacing w:val="-2"/>
          <w:sz w:val="24"/>
          <w:szCs w:val="22"/>
        </w:rPr>
        <w:t>.</w:t>
      </w:r>
      <w:r w:rsidRPr="004E1738">
        <w:rPr>
          <w:rStyle w:val="FootnoteReference"/>
          <w:b w:val="0"/>
          <w:snapToGrid w:val="0"/>
          <w:spacing w:val="-2"/>
          <w:sz w:val="24"/>
          <w:szCs w:val="22"/>
        </w:rPr>
        <w:footnoteReference w:id="85"/>
      </w:r>
    </w:p>
    <w:p w:rsidR="004E1738" w:rsidRPr="004E1738" w:rsidRDefault="004E1738" w:rsidP="004E1738">
      <w:pPr>
        <w:pStyle w:val="BodyTextIndent"/>
        <w:spacing w:line="276" w:lineRule="auto"/>
        <w:rPr>
          <w:b w:val="0"/>
          <w:bCs w:val="0"/>
          <w:spacing w:val="-2"/>
          <w:sz w:val="24"/>
          <w:szCs w:val="22"/>
        </w:rPr>
      </w:pPr>
      <w:r w:rsidRPr="004E1738">
        <w:rPr>
          <w:b w:val="0"/>
          <w:snapToGrid w:val="0"/>
          <w:spacing w:val="-2"/>
          <w:sz w:val="24"/>
          <w:szCs w:val="22"/>
        </w:rPr>
        <w:t>Prezenţa lui Hristos în această profunzime a spiritului induce toate celelalte trăsături sau calităţi ale stării de nepătimire, liniştirea profundă, iluminarea, siguranţa, stăpânirea de sine, netulburarea, bucuria lăuntrică, energia hristică baptismală, iar nu doar cea umană ca în cazul apatheiei stoice, fiind „păzitoarea” care, ca „veşmânt sau armură a tuturor virtuţilor”</w:t>
      </w:r>
      <w:r w:rsidRPr="004E1738">
        <w:rPr>
          <w:rStyle w:val="FootnoteReference"/>
          <w:b w:val="0"/>
          <w:snapToGrid w:val="0"/>
          <w:spacing w:val="-2"/>
          <w:sz w:val="24"/>
          <w:szCs w:val="22"/>
        </w:rPr>
        <w:footnoteReference w:id="86"/>
      </w:r>
      <w:r w:rsidRPr="004E1738">
        <w:rPr>
          <w:b w:val="0"/>
          <w:snapToGrid w:val="0"/>
          <w:spacing w:val="-2"/>
          <w:sz w:val="24"/>
          <w:szCs w:val="22"/>
        </w:rPr>
        <w:t xml:space="preserve"> „umblă în Duh” împreună cu energia sau lucrarea firii umane, inducând acesteia calităţile ei şi păzind, astfel, „porţile cetăţii curăţiei”.</w:t>
      </w:r>
      <w:r w:rsidRPr="004E1738">
        <w:rPr>
          <w:rStyle w:val="FootnoteReference"/>
          <w:b w:val="0"/>
          <w:snapToGrid w:val="0"/>
          <w:spacing w:val="-2"/>
          <w:sz w:val="24"/>
          <w:szCs w:val="22"/>
        </w:rPr>
        <w:footnoteReference w:id="87"/>
      </w:r>
      <w:r w:rsidRPr="004E1738">
        <w:rPr>
          <w:b w:val="0"/>
          <w:snapToGrid w:val="0"/>
          <w:spacing w:val="-2"/>
          <w:sz w:val="24"/>
          <w:szCs w:val="22"/>
        </w:rPr>
        <w:t xml:space="preserve"> Iubirea acestei comuniuni profunde a sufletului cu Hristos, a acestei sălăşluiri a lui Hristos din nou, prin acordul liber şi activ al voinţei umane, „în  </w:t>
      </w:r>
      <w:r w:rsidRPr="004E1738">
        <w:rPr>
          <w:b w:val="0"/>
          <w:spacing w:val="-2"/>
          <w:sz w:val="24"/>
          <w:szCs w:val="22"/>
        </w:rPr>
        <w:t xml:space="preserve">cămările... </w:t>
      </w:r>
      <w:r w:rsidRPr="004E1738">
        <w:rPr>
          <w:b w:val="0"/>
          <w:bCs w:val="0"/>
          <w:spacing w:val="-2"/>
          <w:sz w:val="24"/>
          <w:szCs w:val="22"/>
        </w:rPr>
        <w:t>cele mai de dinlăuntrul ale sufletului şi în casa Sa”, „leagă sufletul însuşi de bunătăţile lui Dumnezeu, făcându-l să adulmece, să presimtă, prin simţirea minţii urma Celui nevăzut”</w:t>
      </w:r>
      <w:r w:rsidRPr="004E1738">
        <w:rPr>
          <w:rStyle w:val="FootnoteReference"/>
          <w:b w:val="0"/>
          <w:bCs w:val="0"/>
          <w:spacing w:val="-2"/>
          <w:sz w:val="24"/>
          <w:szCs w:val="22"/>
        </w:rPr>
        <w:footnoteReference w:id="88"/>
      </w:r>
      <w:r w:rsidRPr="004E1738">
        <w:rPr>
          <w:b w:val="0"/>
          <w:bCs w:val="0"/>
          <w:spacing w:val="-2"/>
          <w:sz w:val="24"/>
          <w:szCs w:val="22"/>
        </w:rPr>
        <w:t xml:space="preserve">. Nepătimirea se vădeşte astfel a fi starea de simţire a minţii ce „poate (prin această </w:t>
      </w:r>
      <w:r w:rsidRPr="004E1738">
        <w:rPr>
          <w:b w:val="0"/>
          <w:bCs w:val="0"/>
          <w:i/>
          <w:iCs/>
          <w:spacing w:val="-2"/>
          <w:sz w:val="24"/>
          <w:szCs w:val="22"/>
        </w:rPr>
        <w:t>legare</w:t>
      </w:r>
      <w:r w:rsidRPr="004E1738">
        <w:rPr>
          <w:b w:val="0"/>
          <w:bCs w:val="0"/>
          <w:spacing w:val="-2"/>
          <w:sz w:val="24"/>
          <w:szCs w:val="22"/>
        </w:rPr>
        <w:t xml:space="preserve"> a sufletului de har) să nu [mai] fie atrasă în afară nici de obişnuinţele vechi..., ci să vegheze asupra inimii şi să străbată tot mai înăuntru şi să se apropie numai de Dumnezeu, fără să se scârbească de ostenelile atenţiei şi ale stăruinţei”.</w:t>
      </w:r>
      <w:r w:rsidRPr="004E1738">
        <w:rPr>
          <w:rStyle w:val="FootnoteReference"/>
          <w:b w:val="0"/>
          <w:bCs w:val="0"/>
          <w:spacing w:val="-2"/>
          <w:sz w:val="24"/>
          <w:szCs w:val="22"/>
        </w:rPr>
        <w:footnoteReference w:id="89"/>
      </w:r>
      <w:r w:rsidRPr="004E1738">
        <w:rPr>
          <w:b w:val="0"/>
          <w:bCs w:val="0"/>
          <w:spacing w:val="-2"/>
          <w:sz w:val="24"/>
          <w:szCs w:val="22"/>
        </w:rPr>
        <w:t xml:space="preserve"> Din această stare de fortificare în comuniunea profundă cu Hristos, sufletul poate cădea doar dacă se minte deliberat primind gânduri şi închipuiri de slavă deşartă, asemănate de </w:t>
      </w:r>
      <w:r w:rsidRPr="004E1738">
        <w:rPr>
          <w:b w:val="0"/>
          <w:bCs w:val="0"/>
          <w:spacing w:val="-2"/>
          <w:sz w:val="24"/>
          <w:szCs w:val="22"/>
        </w:rPr>
        <w:lastRenderedPageBreak/>
        <w:t>Sfântul Diadoh, dar şi de Evagrie cu „portiţa întunecoasă” a diavolului ce „deschide uşile tuturor dracilor, făcându-se ca un fel de trădător viclean al cetăţii”.</w:t>
      </w:r>
      <w:r w:rsidRPr="004E1738">
        <w:rPr>
          <w:rStyle w:val="FootnoteReference"/>
          <w:b w:val="0"/>
          <w:bCs w:val="0"/>
          <w:spacing w:val="-2"/>
          <w:sz w:val="24"/>
          <w:szCs w:val="22"/>
        </w:rPr>
        <w:footnoteReference w:id="90"/>
      </w:r>
      <w:r w:rsidRPr="004E1738">
        <w:rPr>
          <w:b w:val="0"/>
          <w:bCs w:val="0"/>
          <w:spacing w:val="-2"/>
          <w:sz w:val="24"/>
          <w:szCs w:val="22"/>
        </w:rPr>
        <w:t xml:space="preserve"> Ajuns la nepătimire, omul nu e predestinat, aşadar, la mântuire, însăşi învăţătura Sfântului Diadoh despre retragerea pedagogică a harului, afirmând necesitatea înaintării infinite a sufletului în prezenţa şi comuniunea cu Hristos prin „smerita cugetare”, descrisă de el ca având două stadii de realizare specifice celor două stadii de nepătimire ale sufletului, cea desăvârşită, „devenită însuşire firească”, fiind rodul unei căliri şi maturizări îndelungate a sufletului prin „pătimiri povăţuitoare” ce sălăşluiesc tot mai mult „bunătatea dumnezeiască” în suflet şi luminează mintea „întru simţire şi siguranţă multă” umplând-o de „bucurie” şi „sfială plină de înţelepciune”.</w:t>
      </w:r>
      <w:r w:rsidRPr="004E1738">
        <w:rPr>
          <w:rStyle w:val="FootnoteReference"/>
          <w:b w:val="0"/>
          <w:bCs w:val="0"/>
          <w:spacing w:val="-2"/>
          <w:sz w:val="24"/>
          <w:szCs w:val="22"/>
        </w:rPr>
        <w:footnoteReference w:id="91"/>
      </w:r>
    </w:p>
    <w:p w:rsidR="004E1738" w:rsidRPr="004E1738" w:rsidRDefault="004E1738" w:rsidP="004E1738">
      <w:pPr>
        <w:spacing w:line="276" w:lineRule="auto"/>
        <w:ind w:firstLine="720"/>
        <w:jc w:val="both"/>
        <w:rPr>
          <w:spacing w:val="-2"/>
          <w:sz w:val="24"/>
          <w:szCs w:val="22"/>
        </w:rPr>
      </w:pPr>
      <w:r w:rsidRPr="004E1738">
        <w:rPr>
          <w:spacing w:val="-2"/>
          <w:sz w:val="24"/>
          <w:szCs w:val="22"/>
        </w:rPr>
        <w:t>Sufletul se află în această stare sub “înrâurirea înţelepciunii netrecătoare şi adevărate”</w:t>
      </w:r>
      <w:r w:rsidRPr="004E1738">
        <w:rPr>
          <w:rStyle w:val="FootnoteReference"/>
          <w:spacing w:val="-2"/>
          <w:sz w:val="24"/>
          <w:szCs w:val="22"/>
        </w:rPr>
        <w:footnoteReference w:id="92"/>
      </w:r>
      <w:r w:rsidRPr="004E1738">
        <w:rPr>
          <w:spacing w:val="-2"/>
          <w:sz w:val="24"/>
          <w:szCs w:val="22"/>
        </w:rPr>
        <w:t xml:space="preserve"> ... spre deosebire de prima stare ce se aseamăna cu</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Symbol" w:hAnsi="Symbol"/>
          <w:spacing w:val="-2"/>
          <w:sz w:val="24"/>
          <w:szCs w:val="22"/>
        </w:rPr>
        <w:t></w:t>
      </w:r>
      <w:r w:rsidRPr="004E1738">
        <w:rPr>
          <w:spacing w:val="-2"/>
          <w:sz w:val="24"/>
          <w:szCs w:val="22"/>
        </w:rPr>
        <w:t>stoică, a cărei esenţă era dată doar de netulburare ce putea implica pasivitatea. Această înţelepciune plină de sfială şi smerenie ce-L manifestă activ şi dinamic pe Hristos în suflet, rearmonizează continuu sufletul în lupta cu tulburările şi ispitirile aduse de diavoli. Pentru Sfântul Diadoh “nepătimirea nu înseamnă a nu fi războiţi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de draci, ci războiţi fiind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xml:space="preserve">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έ</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 de ei, să rămânem nebiruiţi” (</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έ</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rFonts w:ascii="WP Greek Century" w:hAnsi="WP Greek Century"/>
          <w:spacing w:val="-2"/>
          <w:sz w:val="24"/>
          <w:szCs w:val="22"/>
        </w:rPr>
        <w:t></w:t>
      </w:r>
      <w:r w:rsidRPr="004E1738">
        <w:rPr>
          <w:spacing w:val="-2"/>
          <w:sz w:val="24"/>
          <w:szCs w:val="22"/>
        </w:rPr>
        <w:t>)</w:t>
      </w:r>
      <w:r w:rsidRPr="004E1738">
        <w:rPr>
          <w:rStyle w:val="FootnoteReference"/>
          <w:spacing w:val="-2"/>
          <w:sz w:val="24"/>
          <w:szCs w:val="22"/>
        </w:rPr>
        <w:footnoteReference w:id="93"/>
      </w:r>
      <w:r w:rsidRPr="004E1738">
        <w:rPr>
          <w:spacing w:val="-2"/>
          <w:sz w:val="24"/>
          <w:szCs w:val="22"/>
        </w:rPr>
        <w:t>, deci ca fiind o stare a biruinţei în lupta cu demonii, biruinţă dată tocmai de armele înţelepciunii harice cu care e înzestrat sau îmbrăcat sufletul asemeni unei armuri ce-l face imun faţă de atacurile demonice. Nepătimirea e dată, astfel, de „stingerea săgeţilor drăceşti în afară de simţirea trupului”</w:t>
      </w:r>
      <w:r w:rsidRPr="004E1738">
        <w:rPr>
          <w:rStyle w:val="FootnoteReference"/>
          <w:spacing w:val="-2"/>
          <w:sz w:val="24"/>
          <w:szCs w:val="22"/>
        </w:rPr>
        <w:footnoteReference w:id="94"/>
      </w:r>
      <w:r w:rsidRPr="004E1738">
        <w:rPr>
          <w:spacing w:val="-2"/>
          <w:sz w:val="24"/>
          <w:szCs w:val="22"/>
        </w:rPr>
        <w:t xml:space="preserve">, păstrând astfel mintea în afară de „cugetul trupesc“, în această înţelepciune hristică înmulţită tot mai mult prin jertfirea diacritică a gândurilor – seminţe ale virtuţilor, pe altarul rugăciunii evocative şi invocative a focului harului.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 xml:space="preserve">Culminarea acestei stări de înţelepciune şi nepătimire trăită şi păstrată prin rugăciune e dobândirea desăvârşită a asemănării cu Dumnezeu: “până ce nu primeşte mintea în chip desăvârşit </w:t>
      </w:r>
      <w:r w:rsidRPr="004E1738">
        <w:rPr>
          <w:b w:val="0"/>
          <w:i/>
          <w:spacing w:val="-2"/>
          <w:sz w:val="24"/>
          <w:szCs w:val="22"/>
        </w:rPr>
        <w:t>asemănarea</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prin lumina dumnezeiască, poate avea aproape toate celelalte virtuţi, dar este încă lipsită de dragostea desăvârşită”.</w:t>
      </w:r>
      <w:r w:rsidRPr="004E1738">
        <w:rPr>
          <w:rStyle w:val="FootnoteReference"/>
          <w:b w:val="0"/>
          <w:spacing w:val="-2"/>
          <w:sz w:val="24"/>
          <w:szCs w:val="22"/>
        </w:rPr>
        <w:footnoteReference w:id="95"/>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 xml:space="preserve">Ceea ce au comun cele două stări duhovniceşti ale minţii e, aşadar, tocmai aducerea şi trăirea gândurilor curate ca seminţe ale virtuţilor, a harului în suflet prin rugăciune, prima în mod </w:t>
      </w:r>
      <w:r w:rsidRPr="004E1738">
        <w:rPr>
          <w:b w:val="0"/>
          <w:i/>
          <w:spacing w:val="-2"/>
          <w:sz w:val="24"/>
          <w:szCs w:val="22"/>
        </w:rPr>
        <w:t>incontinuu</w:t>
      </w:r>
      <w:r w:rsidRPr="004E1738">
        <w:rPr>
          <w:b w:val="0"/>
          <w:spacing w:val="-2"/>
          <w:sz w:val="24"/>
          <w:szCs w:val="22"/>
        </w:rPr>
        <w:t xml:space="preserve"> pe măsura efortului omenesc, a doua, în mod </w:t>
      </w:r>
      <w:r w:rsidRPr="004E1738">
        <w:rPr>
          <w:b w:val="0"/>
          <w:i/>
          <w:spacing w:val="-2"/>
          <w:sz w:val="24"/>
          <w:szCs w:val="22"/>
        </w:rPr>
        <w:t>continuu</w:t>
      </w:r>
      <w:r w:rsidRPr="004E1738">
        <w:rPr>
          <w:b w:val="0"/>
          <w:spacing w:val="-2"/>
          <w:sz w:val="24"/>
          <w:szCs w:val="22"/>
        </w:rPr>
        <w:t>, fiind datorată harului dăruit ce copleşeşte mintea în manifestarea ei de raţiune intuitivă.</w:t>
      </w:r>
      <w:r w:rsidRPr="004E1738">
        <w:rPr>
          <w:rStyle w:val="FootnoteReference"/>
          <w:b w:val="0"/>
          <w:spacing w:val="-2"/>
          <w:sz w:val="24"/>
          <w:szCs w:val="22"/>
        </w:rPr>
        <w:footnoteReference w:id="96"/>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lastRenderedPageBreak/>
        <w:t>Pe treapta de început a nepătimirii ca etapă a vieţii spirituale, procesul de sădire a virtuţilor în suflet e încă în desfăşurare printr-o luptă interioară al cărei scop e nu numai a “nu mai face cele rele, ci de a stinge cu totul relele, prin împlinirea cu grijă a celor bune”</w:t>
      </w:r>
      <w:r w:rsidRPr="004E1738">
        <w:rPr>
          <w:rStyle w:val="FootnoteReference"/>
          <w:b w:val="0"/>
          <w:spacing w:val="-2"/>
          <w:sz w:val="24"/>
          <w:szCs w:val="22"/>
        </w:rPr>
        <w:footnoteReference w:id="97"/>
      </w:r>
      <w:r w:rsidRPr="004E1738">
        <w:rPr>
          <w:b w:val="0"/>
          <w:spacing w:val="-2"/>
          <w:sz w:val="24"/>
          <w:szCs w:val="22"/>
        </w:rPr>
        <w:t>. Această luptă e înnobilată de curăţia dăruită nevoitorului ca răsplată a fricii de Dumnezeu arătată de el continuu: “Celor ce se luptă, frica Domnului Iisus le dă un anumit fel de curăţie”.</w:t>
      </w:r>
      <w:r w:rsidRPr="004E1738">
        <w:rPr>
          <w:rStyle w:val="FootnoteReference"/>
          <w:b w:val="0"/>
          <w:spacing w:val="-2"/>
          <w:sz w:val="24"/>
          <w:szCs w:val="22"/>
        </w:rPr>
        <w:footnoteReference w:id="98"/>
      </w:r>
      <w:r w:rsidRPr="004E1738">
        <w:rPr>
          <w:b w:val="0"/>
          <w:spacing w:val="-2"/>
          <w:sz w:val="24"/>
          <w:szCs w:val="22"/>
        </w:rPr>
        <w:t xml:space="preserve"> Iar definiţia pe care Sfântul Diadoh o dă curăţiei ca “</w:t>
      </w:r>
      <w:r w:rsidRPr="004E1738">
        <w:rPr>
          <w:b w:val="0"/>
          <w:snapToGrid w:val="0"/>
          <w:spacing w:val="-2"/>
          <w:sz w:val="24"/>
          <w:szCs w:val="22"/>
        </w:rPr>
        <w:t>simţire pururea lipită de Dumnezeu”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xml:space="preserve">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έ</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 xml:space="preserve"> </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rFonts w:ascii="WP Greek Century" w:hAnsi="WP Greek Century"/>
          <w:b w:val="0"/>
          <w:snapToGrid w:val="0"/>
          <w:spacing w:val="-2"/>
          <w:sz w:val="24"/>
          <w:szCs w:val="22"/>
        </w:rPr>
        <w:t></w:t>
      </w:r>
      <w:r w:rsidRPr="004E1738">
        <w:rPr>
          <w:b w:val="0"/>
          <w:snapToGrid w:val="0"/>
          <w:spacing w:val="-2"/>
          <w:sz w:val="24"/>
          <w:szCs w:val="22"/>
        </w:rPr>
        <w:t>)</w:t>
      </w:r>
      <w:r w:rsidRPr="004E1738">
        <w:rPr>
          <w:rStyle w:val="FootnoteReference"/>
          <w:b w:val="0"/>
          <w:snapToGrid w:val="0"/>
          <w:spacing w:val="-2"/>
          <w:sz w:val="24"/>
          <w:szCs w:val="22"/>
        </w:rPr>
        <w:footnoteReference w:id="99"/>
      </w:r>
      <w:r w:rsidRPr="004E1738">
        <w:rPr>
          <w:b w:val="0"/>
          <w:snapToGrid w:val="0"/>
          <w:spacing w:val="-2"/>
          <w:sz w:val="24"/>
          <w:szCs w:val="22"/>
        </w:rPr>
        <w:t>, arată tocmai starea de nepătimire la care ajunge sufletul, starea de imobilitate liberă prin unirea totală prin har a sufletului cu Dumnezeu.</w:t>
      </w:r>
      <w:r w:rsidRPr="004E1738">
        <w:rPr>
          <w:b w:val="0"/>
          <w:spacing w:val="-2"/>
          <w:sz w:val="24"/>
          <w:szCs w:val="22"/>
        </w:rPr>
        <w:t xml:space="preserve"> Lupta efectivă, dusă cu ajutorul “armelor sfintei lumini”, durează până la ajungerea în această a doua stare, când prezenţa harului în suflet nu mai e percepută ca luptă, ci ca destindere şi dulceaţă sufletească, “ca ardoare venită în inimă de </w:t>
      </w:r>
      <w:smartTag w:uri="urn:schemas-microsoft-com:office:smarttags" w:element="PersonName">
        <w:smartTagPr>
          <w:attr w:name="ProductID" w:val="la Preasf￢ntul Duh"/>
        </w:smartTagPr>
        <w:r w:rsidRPr="004E1738">
          <w:rPr>
            <w:b w:val="0"/>
            <w:spacing w:val="-2"/>
            <w:sz w:val="24"/>
            <w:szCs w:val="22"/>
          </w:rPr>
          <w:t>la Preasfântul Duh</w:t>
        </w:r>
      </w:smartTag>
      <w:r w:rsidRPr="004E1738">
        <w:rPr>
          <w:b w:val="0"/>
          <w:spacing w:val="-2"/>
          <w:sz w:val="24"/>
          <w:szCs w:val="22"/>
        </w:rPr>
        <w:t xml:space="preserve"> ce este întreagă numai pace… chemând toate părţile sufletului la dorul după Dumnezeu”.</w:t>
      </w:r>
      <w:r w:rsidRPr="004E1738">
        <w:rPr>
          <w:rStyle w:val="FootnoteReference"/>
          <w:b w:val="0"/>
          <w:spacing w:val="-2"/>
          <w:sz w:val="24"/>
          <w:szCs w:val="22"/>
        </w:rPr>
        <w:footnoteReference w:id="100"/>
      </w:r>
      <w:r w:rsidRPr="004E1738">
        <w:rPr>
          <w:b w:val="0"/>
          <w:spacing w:val="-2"/>
          <w:sz w:val="24"/>
          <w:szCs w:val="22"/>
        </w:rPr>
        <w:t xml:space="preserve"> </w:t>
      </w:r>
    </w:p>
    <w:p w:rsidR="004E1738" w:rsidRPr="004E1738" w:rsidRDefault="004E1738" w:rsidP="004E1738">
      <w:pPr>
        <w:spacing w:line="276" w:lineRule="auto"/>
        <w:ind w:firstLine="720"/>
        <w:jc w:val="both"/>
        <w:rPr>
          <w:bCs/>
          <w:spacing w:val="-2"/>
          <w:sz w:val="24"/>
          <w:szCs w:val="22"/>
        </w:rPr>
      </w:pPr>
      <w:r w:rsidRPr="004E1738">
        <w:rPr>
          <w:bCs/>
          <w:spacing w:val="-2"/>
          <w:sz w:val="24"/>
          <w:szCs w:val="22"/>
        </w:rPr>
        <w:t>Nevoitorul e ajuns acum la “bucuria binelui”, după ce a fost trecut “prin furtună şi prin focul încercării”</w:t>
      </w:r>
      <w:r w:rsidRPr="004E1738">
        <w:rPr>
          <w:rStyle w:val="FootnoteReference"/>
          <w:bCs/>
          <w:spacing w:val="-2"/>
          <w:sz w:val="24"/>
          <w:szCs w:val="22"/>
        </w:rPr>
        <w:footnoteReference w:id="101"/>
      </w:r>
      <w:r w:rsidRPr="004E1738">
        <w:rPr>
          <w:bCs/>
          <w:spacing w:val="-2"/>
          <w:sz w:val="24"/>
          <w:szCs w:val="22"/>
        </w:rPr>
        <w:t>, a ajuns la o uşurinţă şi plăcere de a împlini faptele bune, pentru că virtuţile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sădite în suflet acum “încălzesc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la sânul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lor”.</w:t>
      </w:r>
      <w:r w:rsidRPr="004E1738">
        <w:rPr>
          <w:rStyle w:val="FootnoteReference"/>
          <w:bCs/>
          <w:spacing w:val="-2"/>
          <w:sz w:val="24"/>
          <w:szCs w:val="22"/>
        </w:rPr>
        <w:footnoteReference w:id="102"/>
      </w:r>
      <w:r w:rsidRPr="004E1738">
        <w:rPr>
          <w:bCs/>
          <w:spacing w:val="-2"/>
          <w:sz w:val="24"/>
          <w:szCs w:val="22"/>
        </w:rPr>
        <w:t xml:space="preserve"> Starea sufletului e, aşadar, acum, una de înstrăinare de bunăvoie şi fără nici o greutate de lucrurile frumoase ale vieţii, de poftele trupului şi de mânia ce tulbură de obicei inima omului păcătos, aducându-i mustrări de conştiinţă şi “frici nelămurite”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 xml:space="preserve"> </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rFonts w:ascii="WP Greek Century" w:hAnsi="WP Greek Century"/>
          <w:bCs/>
          <w:spacing w:val="-2"/>
          <w:sz w:val="24"/>
          <w:szCs w:val="22"/>
        </w:rPr>
        <w:t></w:t>
      </w:r>
      <w:r w:rsidRPr="004E1738">
        <w:rPr>
          <w:bCs/>
          <w:spacing w:val="-2"/>
          <w:sz w:val="24"/>
          <w:szCs w:val="22"/>
        </w:rPr>
        <w:t>).</w:t>
      </w:r>
      <w:r w:rsidRPr="004E1738">
        <w:rPr>
          <w:rStyle w:val="FootnoteReference"/>
          <w:bCs/>
          <w:spacing w:val="-2"/>
          <w:sz w:val="24"/>
          <w:szCs w:val="22"/>
        </w:rPr>
        <w:footnoteReference w:id="103"/>
      </w:r>
      <w:r w:rsidRPr="004E1738">
        <w:rPr>
          <w:bCs/>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Sufletul nu mai lucrează acum cu ajutorul “dragostei naturale” (</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a cărei posesie e “un semn al firii însănătoşite prin înfrânare”, ci cu ajutorul “dragostei duhovniceşti (</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ce duce mintea la nepătimire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într-o măsură mult mai mare</w:t>
      </w:r>
      <w:r w:rsidRPr="004E1738">
        <w:rPr>
          <w:rStyle w:val="FootnoteReference"/>
          <w:b w:val="0"/>
          <w:spacing w:val="-2"/>
          <w:sz w:val="24"/>
          <w:szCs w:val="22"/>
        </w:rPr>
        <w:footnoteReference w:id="104"/>
      </w:r>
      <w:r w:rsidRPr="004E1738">
        <w:rPr>
          <w:b w:val="0"/>
          <w:spacing w:val="-2"/>
          <w:sz w:val="24"/>
          <w:szCs w:val="22"/>
        </w:rPr>
        <w:t>. Dragostea duce, aşadar, sufletul la nepătimire, însă, spune Sfântul Diadoh, “nici nepătimirea”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ca stare de desăvârşire, “nu poate dărui sufletului altă virtute, fără numai dragostea”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Style w:val="FootnoteReference"/>
          <w:b w:val="0"/>
          <w:spacing w:val="-2"/>
          <w:sz w:val="24"/>
          <w:szCs w:val="22"/>
        </w:rPr>
        <w:footnoteReference w:id="105"/>
      </w:r>
      <w:r w:rsidRPr="004E1738">
        <w:rPr>
          <w:b w:val="0"/>
          <w:spacing w:val="-2"/>
          <w:sz w:val="24"/>
          <w:szCs w:val="22"/>
        </w:rPr>
        <w:t xml:space="preserve">   </w:t>
      </w:r>
    </w:p>
    <w:p w:rsidR="004E1738" w:rsidRPr="004E1738" w:rsidRDefault="004E1738" w:rsidP="004E1738">
      <w:pPr>
        <w:spacing w:line="276" w:lineRule="auto"/>
        <w:ind w:firstLine="720"/>
        <w:jc w:val="both"/>
        <w:rPr>
          <w:spacing w:val="-2"/>
          <w:sz w:val="24"/>
          <w:szCs w:val="22"/>
        </w:rPr>
      </w:pPr>
      <w:r w:rsidRPr="004E1738">
        <w:rPr>
          <w:snapToGrid w:val="0"/>
          <w:spacing w:val="-2"/>
          <w:sz w:val="24"/>
          <w:szCs w:val="22"/>
        </w:rPr>
        <w:lastRenderedPageBreak/>
        <w:t>Această stare de nepătimire, de întărire sau fortificare a sufletului prin dragostea desăvârşită, e descrisă de Sfântul Diadoh foarte plastic, ca sălăşluire a harului Duhului Sfânt ce linişteşte deplin sufletul întărindu-i coeziunea interioară: “</w:t>
      </w:r>
      <w:r w:rsidRPr="004E1738">
        <w:rPr>
          <w:sz w:val="24"/>
          <w:szCs w:val="22"/>
        </w:rPr>
        <w:t>Aşa cum atunci când marea e tulburată, dacă se varsă în ea ulei, firea ei cedează sub acţiunea grăsimii aceluia care biruie zbuciumarea ei, tot aşa şi sufletul nostru se linişteşte în chip plăcut atunci când primeşte în el grăsimea bunătăţii Duhului Sfânt; căci potrivit sfântului [David] care spune: „Numai supune-te lui Dumnezeu, suflete al meu” [Ps. 61, 6], se lasă bucuros învins de acea nepătimaşă şi negrăită bunătate care-l umbreşte [cf. Lc 1, 35]. De aceea, oricâte întărâtări ar fi aduse de demoni împotriva sufletului, el rămâne nemânios şi plin de toată bucuria</w:t>
      </w:r>
      <w:r w:rsidRPr="004E1738">
        <w:rPr>
          <w:snapToGrid w:val="0"/>
          <w:spacing w:val="-2"/>
          <w:sz w:val="24"/>
          <w:szCs w:val="22"/>
        </w:rPr>
        <w:t>”.</w:t>
      </w:r>
      <w:r w:rsidRPr="004E1738">
        <w:rPr>
          <w:rStyle w:val="FootnoteReference"/>
          <w:bCs/>
          <w:snapToGrid w:val="0"/>
          <w:spacing w:val="-2"/>
          <w:sz w:val="24"/>
          <w:szCs w:val="22"/>
        </w:rPr>
        <w:footnoteReference w:id="106"/>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Prin această concepţie pnevmatologică despre nepătimire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Sfântul Diadoh depăşeşte materialismul mistic messalian cu origini în filosofia stoică, regăsit chiar şi la primul teoretician creştin al ei, Clement Alexandrinul. La acesta, deşi nepătimirea creştină, spre deosebire de cea stoică, nu e doar netulburare (</w:t>
      </w:r>
      <w:r w:rsidRPr="004E1738">
        <w:rPr>
          <w:b w:val="0"/>
          <w:i/>
          <w:iCs/>
          <w:spacing w:val="-2"/>
          <w:sz w:val="24"/>
          <w:szCs w:val="22"/>
        </w:rPr>
        <w:t>ataraxie</w:t>
      </w:r>
      <w:r w:rsidRPr="004E1738">
        <w:rPr>
          <w:b w:val="0"/>
          <w:spacing w:val="-2"/>
          <w:sz w:val="24"/>
          <w:szCs w:val="22"/>
        </w:rPr>
        <w:t>), nu e dată doar de înfrânare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de stăpânirea trupului, ci se află “într-o strânsă legătură cu gnoza şi iubirea” ca surse ale efortului spre virtute şi a armoniei complete a sufletului cu întreaga creaţie</w:t>
      </w:r>
      <w:r w:rsidRPr="004E1738">
        <w:rPr>
          <w:rStyle w:val="FootnoteReference"/>
          <w:b w:val="0"/>
          <w:spacing w:val="-2"/>
          <w:sz w:val="24"/>
          <w:szCs w:val="22"/>
        </w:rPr>
        <w:footnoteReference w:id="107"/>
      </w:r>
      <w:r w:rsidRPr="004E1738">
        <w:rPr>
          <w:b w:val="0"/>
          <w:bCs w:val="0"/>
          <w:spacing w:val="-2"/>
          <w:sz w:val="24"/>
          <w:szCs w:val="22"/>
        </w:rPr>
        <w:t>,</w:t>
      </w:r>
      <w:r w:rsidRPr="004E1738">
        <w:rPr>
          <w:spacing w:val="-2"/>
          <w:sz w:val="24"/>
          <w:szCs w:val="22"/>
        </w:rPr>
        <w:t xml:space="preserve"> </w:t>
      </w:r>
      <w:r w:rsidRPr="004E1738">
        <w:rPr>
          <w:b w:val="0"/>
          <w:spacing w:val="-2"/>
          <w:sz w:val="24"/>
          <w:szCs w:val="22"/>
        </w:rPr>
        <w:t>afirmarea „nedeosebirii sufletului de Stăpânul său“ prin simpla impropriere a „habitusului ascezei“ de către ascet, vădeşte păstrarea nuanţelor de materialism mistic ce permiteau identificarea naturii sufletului cu cea divină.</w:t>
      </w:r>
      <w:r w:rsidRPr="004E1738">
        <w:rPr>
          <w:rStyle w:val="FootnoteReference"/>
          <w:b w:val="0"/>
          <w:spacing w:val="-2"/>
          <w:sz w:val="24"/>
          <w:szCs w:val="22"/>
        </w:rPr>
        <w:footnoteReference w:id="108"/>
      </w:r>
      <w:r w:rsidRPr="004E1738">
        <w:rPr>
          <w:b w:val="0"/>
          <w:spacing w:val="-2"/>
          <w:sz w:val="24"/>
          <w:szCs w:val="22"/>
        </w:rPr>
        <w:t xml:space="preserve"> Ereticii messalieni învăţau, la fel, transformarea sufletului omenesc ajuns la nepătimire în însăşi firea divină</w:t>
      </w:r>
      <w:r w:rsidRPr="004E1738">
        <w:rPr>
          <w:rStyle w:val="FootnoteReference"/>
          <w:b w:val="0"/>
          <w:spacing w:val="-2"/>
          <w:sz w:val="24"/>
          <w:szCs w:val="22"/>
        </w:rPr>
        <w:footnoteReference w:id="109"/>
      </w:r>
      <w:r w:rsidRPr="004E1738">
        <w:rPr>
          <w:b w:val="0"/>
          <w:spacing w:val="-2"/>
          <w:sz w:val="24"/>
          <w:szCs w:val="22"/>
        </w:rPr>
        <w:t xml:space="preserve"> nepătimitoare şi neschimbătoare, considerându-se ca urmare total liberi şi dispreţuind ierarhia şi structurile bisericeşti, munca şi normele sociale şi religioase de comportament. Pentru Sfântul Diadoh nepătimirea implică dinamism şi angajare sufletească şi comunitară responsabilă, ce valorizează, asemenea doctrinei lui Clement Alexandrinul, puterea dorinţei cu funcţie formativă asupra comportamentului uman</w:t>
      </w:r>
      <w:r w:rsidRPr="004E1738">
        <w:rPr>
          <w:b w:val="0"/>
          <w:spacing w:val="-2"/>
          <w:sz w:val="24"/>
          <w:szCs w:val="22"/>
          <w:vertAlign w:val="superscript"/>
        </w:rPr>
        <w:footnoteReference w:id="110"/>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napToGrid w:val="0"/>
          <w:spacing w:val="-2"/>
          <w:sz w:val="24"/>
          <w:szCs w:val="22"/>
        </w:rPr>
        <w:t>Învăţătura Sfântului Diadoh despre mânia raţională sau nepătimaşă reflectă depăşirea concepţiei stoice despre nepătimire ce tindea să anihileze însăşi impulsul natural al dorinţei sau tensiunii iubitoare a sufletului.</w:t>
      </w:r>
      <w:r w:rsidRPr="004E1738">
        <w:rPr>
          <w:b w:val="0"/>
          <w:spacing w:val="-2"/>
          <w:sz w:val="24"/>
          <w:szCs w:val="22"/>
        </w:rPr>
        <w:t xml:space="preserve"> Pentru el “întărâtările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diavolilor şi îndemnurile la mânie” ajung să fie învinse cu uşurinţă de cel ce-şi “îndulceşte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sufletul cu frica lui </w:t>
      </w:r>
      <w:r w:rsidRPr="004E1738">
        <w:rPr>
          <w:b w:val="0"/>
          <w:spacing w:val="-2"/>
          <w:sz w:val="24"/>
          <w:szCs w:val="22"/>
        </w:rPr>
        <w:lastRenderedPageBreak/>
        <w:t>Dumnezeu”, ce dă sufletului “un anume fel de curăţie”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de “linişte fericită”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nepătimire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sau “bunătate negrăită”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ce biruie “toate întărâtările aduse de diavoli în suflet”, deci atât cele aduse asupra părţii pasionale cât şi cele aduse asupra celei concupiscente</w:t>
      </w:r>
      <w:r w:rsidRPr="004E1738">
        <w:rPr>
          <w:rStyle w:val="FootnoteReference"/>
          <w:b w:val="0"/>
          <w:spacing w:val="-2"/>
          <w:sz w:val="24"/>
          <w:szCs w:val="22"/>
        </w:rPr>
        <w:footnoteReference w:id="111"/>
      </w:r>
      <w:r w:rsidRPr="004E1738">
        <w:rPr>
          <w:b w:val="0"/>
          <w:spacing w:val="-2"/>
          <w:sz w:val="24"/>
          <w:szCs w:val="22"/>
        </w:rPr>
        <w:t>.</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Nepătimirea, în concepţia Sfântului Diadoh, e un proces dinamic de iubire şi cunoaştere, o gnoză trăită cu ajutorul “simţirii minţii”, ce nu e deplină decât în momentul dobândirii dragostei duhovniceşti desăvârşite. “Simţirea (</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ne arată cum ia formă în noi asemănarea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dar desăvârşirea asemănării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b w:val="0"/>
          <w:spacing w:val="-2"/>
          <w:sz w:val="24"/>
          <w:szCs w:val="22"/>
          <w:lang w:val="el-GR"/>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ώ</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o vom cunoaşte abia din iluminare”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“Dragostea duhovnicească nu o poate câştiga cineva până ce nu va fi iluminat întru toată încredinţarea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de Duhul Sfânt”. “…«Omul nostru cel dinăuntru se înnoieşte zi de zi» în gustarea dragostei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dar se împlineşte abia întru desăvârşirea ei”.</w:t>
      </w:r>
      <w:r w:rsidRPr="004E1738">
        <w:rPr>
          <w:rStyle w:val="FootnoteReference"/>
          <w:b w:val="0"/>
          <w:spacing w:val="-2"/>
          <w:sz w:val="24"/>
          <w:szCs w:val="22"/>
        </w:rPr>
        <w:footnoteReference w:id="112"/>
      </w:r>
      <w:r w:rsidRPr="004E1738">
        <w:rPr>
          <w:b w:val="0"/>
          <w:spacing w:val="-2"/>
          <w:sz w:val="24"/>
          <w:szCs w:val="22"/>
        </w:rPr>
        <w:t xml:space="preserve"> </w:t>
      </w:r>
    </w:p>
    <w:p w:rsidR="004E1738" w:rsidRPr="004E1738" w:rsidRDefault="004E1738" w:rsidP="004E1738">
      <w:pPr>
        <w:pStyle w:val="BodyTextIndent"/>
        <w:spacing w:line="276" w:lineRule="auto"/>
        <w:rPr>
          <w:b w:val="0"/>
          <w:spacing w:val="-2"/>
          <w:sz w:val="24"/>
          <w:szCs w:val="22"/>
        </w:rPr>
      </w:pPr>
      <w:r w:rsidRPr="004E1738">
        <w:rPr>
          <w:b w:val="0"/>
          <w:spacing w:val="-2"/>
          <w:sz w:val="24"/>
          <w:szCs w:val="22"/>
        </w:rPr>
        <w:t>Nepătimirea ca stare de virtute e, aşadar, în acelaşi timp pregustare a desăvârşirii. E starea de actualizare, de aducere în simţire a amintirii dragostei dumnezeieşti, ca cea care conduce la dobândirea desăvârşirii, prin împlinirea „lipsei ostenelilor celor mai desăvârşite”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έ</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Trebuie să împlinim, spune Sfântul Diadoh, dragostea dumnezeiască “măcar de silă ca să ajungem la gustarea ei întru toată simţirea şi încredinţarea”, adică la nepătimire.</w:t>
      </w:r>
      <w:r w:rsidRPr="004E1738">
        <w:rPr>
          <w:rStyle w:val="FootnoteReference"/>
          <w:b w:val="0"/>
          <w:spacing w:val="-2"/>
          <w:sz w:val="24"/>
          <w:szCs w:val="22"/>
        </w:rPr>
        <w:footnoteReference w:id="113"/>
      </w:r>
      <w:r w:rsidRPr="004E1738">
        <w:rPr>
          <w:b w:val="0"/>
          <w:spacing w:val="-2"/>
          <w:sz w:val="24"/>
          <w:szCs w:val="22"/>
        </w:rPr>
        <w:t xml:space="preserve"> “Cei ce înaintează până la desăvârşire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xml:space="preserve"> </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rFonts w:ascii="WP Greek Century" w:hAnsi="WP Greek Century"/>
          <w:b w:val="0"/>
          <w:spacing w:val="-2"/>
          <w:sz w:val="24"/>
          <w:szCs w:val="22"/>
        </w:rPr>
        <w:t></w:t>
      </w:r>
      <w:r w:rsidRPr="004E1738">
        <w:rPr>
          <w:b w:val="0"/>
          <w:spacing w:val="-2"/>
          <w:sz w:val="24"/>
          <w:szCs w:val="22"/>
        </w:rPr>
        <w:t>) pot să guste aici des din ea, [din dreptatea, pacea şi bucuria în Duhul Sfânt ca roade ale dragostei desăvârşite], dar desăvârşit nimenea nu o poate câştiga, decât numai când «se va înghiţi desăvârşit ce este muritor de viaţă»”.</w:t>
      </w:r>
      <w:r w:rsidRPr="004E1738">
        <w:rPr>
          <w:rStyle w:val="FootnoteReference"/>
          <w:b w:val="0"/>
          <w:spacing w:val="-2"/>
          <w:sz w:val="24"/>
          <w:szCs w:val="22"/>
        </w:rPr>
        <w:footnoteReference w:id="114"/>
      </w:r>
      <w:r w:rsidRPr="004E1738">
        <w:rPr>
          <w:b w:val="0"/>
          <w:spacing w:val="-2"/>
          <w:sz w:val="24"/>
          <w:szCs w:val="22"/>
        </w:rPr>
        <w:t xml:space="preserve"> Ajuns aici omul e deplin nepătimitor şi de nebiruit, pentru că “</w:t>
      </w:r>
      <w:r w:rsidRPr="004E1738">
        <w:rPr>
          <w:b w:val="0"/>
          <w:snapToGrid w:val="0"/>
          <w:spacing w:val="-2"/>
          <w:sz w:val="24"/>
          <w:szCs w:val="22"/>
        </w:rPr>
        <w:t>desfătându-se desăvârşit în Dumnezeu, socoteşte bucurie chiar tristeţea morţii”.</w:t>
      </w:r>
      <w:r w:rsidRPr="004E1738">
        <w:rPr>
          <w:rStyle w:val="FootnoteReference"/>
          <w:b w:val="0"/>
          <w:snapToGrid w:val="0"/>
          <w:spacing w:val="-2"/>
          <w:sz w:val="24"/>
          <w:szCs w:val="22"/>
        </w:rPr>
        <w:footnoteReference w:id="115"/>
      </w:r>
      <w:r w:rsidRPr="004E1738">
        <w:rPr>
          <w:b w:val="0"/>
          <w:snapToGrid w:val="0"/>
          <w:color w:val="008000"/>
          <w:spacing w:val="-2"/>
          <w:sz w:val="24"/>
          <w:szCs w:val="22"/>
        </w:rPr>
        <w:t xml:space="preserve"> </w:t>
      </w:r>
      <w:r w:rsidRPr="004E1738">
        <w:rPr>
          <w:b w:val="0"/>
          <w:spacing w:val="-2"/>
          <w:sz w:val="24"/>
          <w:szCs w:val="22"/>
        </w:rPr>
        <w:t xml:space="preserve">Se deschide astfel orizontul vieţii mistice propriu-zise, dat de manifestările harismatice, de contemplaţie şi de vederea unificatoare a lui Dumnezeu ce conduce la cunoaşterea sau unirea desăvârşită prin dragoste. </w:t>
      </w: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pStyle w:val="BodyTextIndent"/>
        <w:spacing w:line="276" w:lineRule="auto"/>
        <w:rPr>
          <w:b w:val="0"/>
          <w:spacing w:val="-2"/>
          <w:sz w:val="24"/>
          <w:szCs w:val="22"/>
        </w:rPr>
      </w:pPr>
    </w:p>
    <w:p w:rsidR="004E1738" w:rsidRPr="004E1738" w:rsidRDefault="004E1738" w:rsidP="004E1738">
      <w:pPr>
        <w:spacing w:line="276" w:lineRule="auto"/>
        <w:rPr>
          <w:sz w:val="24"/>
        </w:rPr>
      </w:pPr>
      <w:bookmarkStart w:id="0" w:name="_GoBack"/>
      <w:bookmarkEnd w:id="0"/>
    </w:p>
    <w:sectPr w:rsidR="004E1738" w:rsidRPr="004E17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2D4" w:rsidRDefault="002F52D4" w:rsidP="004E1738">
      <w:r>
        <w:separator/>
      </w:r>
    </w:p>
  </w:endnote>
  <w:endnote w:type="continuationSeparator" w:id="0">
    <w:p w:rsidR="002F52D4" w:rsidRDefault="002F52D4" w:rsidP="004E1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P Greek Century">
    <w:panose1 w:val="05000000000000000000"/>
    <w:charset w:val="02"/>
    <w:family w:val="auto"/>
    <w:pitch w:val="variable"/>
    <w:sig w:usb0="00000000" w:usb1="10000000" w:usb2="00000000" w:usb3="00000000" w:csb0="80000000" w:csb1="00000000"/>
  </w:font>
  <w:font w:name="OdysseaF">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2D4" w:rsidRDefault="002F52D4" w:rsidP="004E1738">
      <w:r>
        <w:separator/>
      </w:r>
    </w:p>
  </w:footnote>
  <w:footnote w:type="continuationSeparator" w:id="0">
    <w:p w:rsidR="002F52D4" w:rsidRDefault="002F52D4" w:rsidP="004E1738">
      <w:r>
        <w:continuationSeparator/>
      </w:r>
    </w:p>
  </w:footnote>
  <w:footnote w:id="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KG 89 (149, 24-26)</w:t>
      </w:r>
      <w:r w:rsidRPr="00F34AB5">
        <w:rPr>
          <w:bCs/>
          <w:spacing w:val="-2"/>
        </w:rPr>
        <w:t>:</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83 (143, 2-26).</w:t>
      </w:r>
    </w:p>
  </w:footnote>
  <w:footnote w:id="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26 (97, 19).</w:t>
      </w:r>
    </w:p>
  </w:footnote>
  <w:footnote w:id="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62 Platon, </w:t>
      </w:r>
      <w:r w:rsidRPr="00F34AB5">
        <w:rPr>
          <w:i/>
          <w:spacing w:val="-2"/>
        </w:rPr>
        <w:t>Republica</w:t>
      </w:r>
      <w:r w:rsidRPr="00F34AB5">
        <w:rPr>
          <w:spacing w:val="-2"/>
        </w:rPr>
        <w:t xml:space="preserve"> 439a, Evagrie Ponticul, </w:t>
      </w:r>
      <w:r w:rsidRPr="00F34AB5">
        <w:rPr>
          <w:i/>
          <w:spacing w:val="-2"/>
        </w:rPr>
        <w:t>Tratatul practic. Gnosticul</w:t>
      </w:r>
      <w:r w:rsidRPr="00F34AB5">
        <w:rPr>
          <w:spacing w:val="-2"/>
        </w:rPr>
        <w:t>, ed. Polirom, Iaşi, 1997,  cap. 89, p. 111: Evagrie Ponticul preia această concepţie de la Sfântul Grigorie de Nyssa: “atunci când virtutea se află în partea raţională [a sufletului]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ea se numeşte chibzuinţă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lang w:val="el-GR"/>
        </w:rPr>
        <w:t>)</w:t>
      </w:r>
      <w:r w:rsidRPr="00F34AB5">
        <w:rPr>
          <w:spacing w:val="-2"/>
        </w:rPr>
        <w:t>, înţelegere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lang w:val="el-GR"/>
        </w:rPr>
        <w:t>)</w:t>
      </w:r>
      <w:r w:rsidRPr="00F34AB5">
        <w:rPr>
          <w:spacing w:val="-2"/>
        </w:rPr>
        <w:t xml:space="preserve"> şi înţelepciune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atunci când e în partea concupiscentă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ea se numeşte cumpătare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iubire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şi înfrânare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atunci când este în partea irascibilă (</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se numeşte curaj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şi răbdare</w:t>
      </w:r>
      <w:r w:rsidRPr="00F34AB5">
        <w:rPr>
          <w:rFonts w:ascii="WP Greek Century" w:hAnsi="WP Greek Century"/>
          <w:spacing w:val="-2"/>
        </w:rPr>
        <w:t></w:t>
      </w:r>
      <w:r w:rsidRPr="00F34AB5">
        <w:rPr>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iar atunci când este în sufletul întreg se numeşte dreptate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xml:space="preserve">)”; </w:t>
      </w:r>
      <w:r w:rsidRPr="00F34AB5">
        <w:rPr>
          <w:i/>
          <w:iCs/>
          <w:spacing w:val="-2"/>
        </w:rPr>
        <w:t>cf.</w:t>
      </w:r>
      <w:r w:rsidRPr="00F34AB5">
        <w:rPr>
          <w:spacing w:val="-2"/>
        </w:rPr>
        <w:t xml:space="preserve"> de asemenea şi Tomas Spidlik, </w:t>
      </w:r>
      <w:r w:rsidRPr="00F34AB5">
        <w:rPr>
          <w:i/>
          <w:spacing w:val="-2"/>
        </w:rPr>
        <w:t>op. cit</w:t>
      </w:r>
      <w:r w:rsidRPr="00F34AB5">
        <w:rPr>
          <w:spacing w:val="-2"/>
        </w:rPr>
        <w:t>. pp.</w:t>
      </w:r>
      <w:r w:rsidRPr="00F34AB5">
        <w:rPr>
          <w:spacing w:val="-2"/>
          <w:lang w:val="el-GR"/>
        </w:rPr>
        <w:t xml:space="preserve"> </w:t>
      </w:r>
      <w:r w:rsidRPr="00F34AB5">
        <w:rPr>
          <w:spacing w:val="-2"/>
        </w:rPr>
        <w:t>329, 330.</w:t>
      </w:r>
    </w:p>
  </w:footnote>
  <w:footnote w:id="5">
    <w:p w:rsidR="004E1738" w:rsidRPr="00F34AB5" w:rsidRDefault="004E1738" w:rsidP="004E1738">
      <w:pPr>
        <w:pStyle w:val="FootnoteText"/>
        <w:jc w:val="both"/>
        <w:rPr>
          <w:spacing w:val="-2"/>
          <w:lang w:val="el-GR"/>
        </w:rPr>
      </w:pPr>
      <w:r w:rsidRPr="00F34AB5">
        <w:rPr>
          <w:rStyle w:val="FootnoteReference"/>
          <w:spacing w:val="-2"/>
        </w:rPr>
        <w:footnoteRef/>
      </w:r>
      <w:r w:rsidRPr="00F34AB5">
        <w:rPr>
          <w:rFonts w:ascii="WP Greek Century" w:hAnsi="WP Greek Century"/>
          <w:spacing w:val="-2"/>
        </w:rPr>
        <w:t></w:t>
      </w:r>
      <w:r w:rsidRPr="00F34AB5">
        <w:rPr>
          <w:spacing w:val="-2"/>
        </w:rPr>
        <w:t>KG</w:t>
      </w:r>
      <w:r w:rsidRPr="00F34AB5">
        <w:rPr>
          <w:rFonts w:ascii="WP Greek Century" w:hAnsi="WP Greek Century"/>
          <w:spacing w:val="-2"/>
        </w:rPr>
        <w:t></w:t>
      </w:r>
      <w:r w:rsidRPr="00F34AB5">
        <w:rPr>
          <w:spacing w:val="-2"/>
        </w:rPr>
        <w:t>42</w:t>
      </w:r>
      <w:r w:rsidRPr="00F34AB5">
        <w:rPr>
          <w:rFonts w:ascii="WP Greek Century" w:hAnsi="WP Greek Century"/>
          <w:spacing w:val="-2"/>
        </w:rPr>
        <w:t></w:t>
      </w:r>
      <w:r w:rsidRPr="00F34AB5">
        <w:rPr>
          <w:spacing w:val="-2"/>
        </w:rPr>
        <w:t>(109,</w:t>
      </w:r>
      <w:r w:rsidRPr="00F34AB5">
        <w:rPr>
          <w:rFonts w:ascii="WP Greek Century" w:hAnsi="WP Greek Century"/>
          <w:spacing w:val="-2"/>
        </w:rPr>
        <w:t></w:t>
      </w:r>
      <w:r w:rsidRPr="00F34AB5">
        <w:rPr>
          <w:spacing w:val="-2"/>
        </w:rPr>
        <w:t>18</w:t>
      </w:r>
      <w:r w:rsidRPr="00F34AB5">
        <w:rPr>
          <w:spacing w:val="-2"/>
          <w:lang w:val="el-GR"/>
        </w:rPr>
        <w:t>/</w:t>
      </w:r>
      <w:r w:rsidRPr="00F34AB5">
        <w:rPr>
          <w:spacing w:val="-2"/>
        </w:rPr>
        <w:t>19):</w:t>
      </w:r>
      <w:r w:rsidRPr="00F34AB5">
        <w:rPr>
          <w:rFonts w:ascii="WP Greek Century" w:hAnsi="WP Greek Century"/>
          <w:spacing w:val="-2"/>
          <w:lang w:val="el-GR"/>
        </w:rPr>
        <w:t></w:t>
      </w:r>
      <w:r w:rsidRPr="00F34AB5">
        <w:rPr>
          <w:rFonts w:ascii="WP Greek Century" w:hAnsi="WP Greek Century"/>
          <w:spacing w:val="-2"/>
        </w:rPr>
        <w:sym w:font="WP Greek Century" w:char="F0A6"/>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έ</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έ</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FR 1, p. 432</w:t>
      </w:r>
      <w:r w:rsidRPr="00F34AB5">
        <w:rPr>
          <w:spacing w:val="-2"/>
          <w:lang w:val="el-GR"/>
        </w:rPr>
        <w:t>.</w:t>
      </w:r>
    </w:p>
  </w:footnote>
  <w:footnote w:id="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58 (118, 13).</w:t>
      </w:r>
    </w:p>
  </w:footnote>
  <w:footnote w:id="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57 (118, 3).</w:t>
      </w:r>
    </w:p>
  </w:footnote>
  <w:footnote w:id="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Vedere </w:t>
      </w:r>
      <w:r w:rsidRPr="00F34AB5">
        <w:rPr>
          <w:spacing w:val="-2"/>
        </w:rPr>
        <w:t>28, (179, 2).</w:t>
      </w:r>
    </w:p>
  </w:footnote>
  <w:footnote w:id="9">
    <w:p w:rsidR="004E1738" w:rsidRPr="00F34AB5" w:rsidRDefault="004E1738" w:rsidP="004E1738">
      <w:pPr>
        <w:pStyle w:val="FootnoteText"/>
        <w:jc w:val="both"/>
        <w:rPr>
          <w:bCs/>
          <w:spacing w:val="-2"/>
        </w:rPr>
      </w:pPr>
      <w:r w:rsidRPr="00F34AB5">
        <w:rPr>
          <w:rStyle w:val="FootnoteReference"/>
          <w:spacing w:val="-2"/>
        </w:rPr>
        <w:footnoteRef/>
      </w:r>
      <w:r w:rsidRPr="00F34AB5">
        <w:rPr>
          <w:spacing w:val="-2"/>
        </w:rPr>
        <w:t xml:space="preserve"> </w:t>
      </w:r>
      <w:r w:rsidRPr="00F34AB5">
        <w:rPr>
          <w:spacing w:val="-2"/>
        </w:rPr>
        <w:t>KG 48 (112, 20):</w:t>
      </w:r>
      <w:r w:rsidRPr="00F34AB5">
        <w:rPr>
          <w:rFonts w:ascii="WP Greek Century" w:hAnsi="WP Greek Century"/>
          <w:b/>
          <w:spacing w:val="-2"/>
          <w:sz w:val="24"/>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1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25 (97, 2), 33. </w:t>
      </w:r>
    </w:p>
  </w:footnote>
  <w:footnote w:id="1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73 (132, 1, 11-14):</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1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83 (143, 2-3):</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Cf. Marcu Ascetul, </w:t>
      </w:r>
      <w:r w:rsidRPr="00F34AB5">
        <w:rPr>
          <w:i/>
          <w:iCs/>
          <w:spacing w:val="-2"/>
        </w:rPr>
        <w:t>Răspuns acelora care se îndoiesc despre Dumnezeiescul Botez</w:t>
      </w:r>
      <w:r w:rsidRPr="00F34AB5">
        <w:rPr>
          <w:spacing w:val="-2"/>
        </w:rPr>
        <w:t xml:space="preserve"> ,FR 1, p. 364 „Nimeni nu vine la Tatăl decât prin Mine.... De aceea şi Proorocul n-a zis: „Din Ierusalim îţi vor aduce ţie împăraţii daruri în templul Tău” (cum se cuvenea şi cum se făcea), ci: „Din templul Tău îţi vor aduce ţie împăraţii daruri în Ierusalim. Ps 67, 30 Aceasta pentru că mintea, care e împăratul fiecăruia, ia întâi din templul cel ascuns al inimii îndemnurile bune şi frumoase de la Hristos, care locuieşte acolo şi le duce până la vieţuirea virtuoasă, pe care Proorocul a numit-o Ierusalim; şi apoi iarăşi le aduce prin intenţiunea cea bună lui Hristos, care i le-a dăruit mai înainte..... Căci El este cel ce lucrează în voi şi să voiţi şi să lucraţi după bunăvoinţă”... Filip. 2, 13. </w:t>
      </w:r>
    </w:p>
  </w:footnote>
  <w:footnote w:id="13">
    <w:p w:rsidR="004E1738" w:rsidRPr="00F34AB5" w:rsidRDefault="004E1738" w:rsidP="004E1738">
      <w:pPr>
        <w:pStyle w:val="BodyTextIndent"/>
        <w:ind w:firstLine="0"/>
        <w:rPr>
          <w:b w:val="0"/>
          <w:bCs w:val="0"/>
          <w:spacing w:val="-2"/>
          <w:sz w:val="20"/>
          <w:szCs w:val="20"/>
        </w:rPr>
      </w:pPr>
      <w:r w:rsidRPr="00F34AB5">
        <w:rPr>
          <w:rStyle w:val="FootnoteReference"/>
          <w:b w:val="0"/>
          <w:bCs w:val="0"/>
          <w:spacing w:val="-2"/>
          <w:sz w:val="20"/>
          <w:szCs w:val="20"/>
        </w:rPr>
        <w:footnoteRef/>
      </w:r>
      <w:r w:rsidRPr="00F34AB5">
        <w:rPr>
          <w:b w:val="0"/>
          <w:bCs w:val="0"/>
          <w:spacing w:val="-2"/>
          <w:sz w:val="20"/>
          <w:szCs w:val="20"/>
        </w:rPr>
        <w:t xml:space="preserve"> </w:t>
      </w:r>
      <w:r w:rsidRPr="00F34AB5">
        <w:rPr>
          <w:b w:val="0"/>
          <w:bCs w:val="0"/>
          <w:spacing w:val="-2"/>
          <w:sz w:val="20"/>
          <w:szCs w:val="20"/>
        </w:rPr>
        <w:t xml:space="preserve">KG </w:t>
      </w:r>
      <w:r w:rsidRPr="00F34AB5">
        <w:rPr>
          <w:b w:val="0"/>
          <w:bCs w:val="0"/>
          <w:spacing w:val="-2"/>
          <w:sz w:val="20"/>
          <w:szCs w:val="20"/>
        </w:rPr>
        <w:t xml:space="preserve">88 (148, 18-23). </w:t>
      </w:r>
    </w:p>
  </w:footnote>
  <w:footnote w:id="14">
    <w:p w:rsidR="004E1738" w:rsidRPr="00F34AB5" w:rsidRDefault="004E1738" w:rsidP="004E1738">
      <w:pPr>
        <w:pStyle w:val="FootnoteText"/>
        <w:jc w:val="both"/>
        <w:rPr>
          <w:spacing w:val="-2"/>
        </w:rPr>
      </w:pPr>
      <w:r w:rsidRPr="00F34AB5">
        <w:rPr>
          <w:rStyle w:val="FootnoteReference"/>
          <w:spacing w:val="-2"/>
        </w:rPr>
        <w:footnoteRef/>
      </w:r>
      <w:r w:rsidRPr="00F34AB5">
        <w:rPr>
          <w:i/>
          <w:iCs/>
          <w:spacing w:val="-2"/>
        </w:rPr>
        <w:t xml:space="preserve">Omiliile </w:t>
      </w:r>
      <w:r w:rsidRPr="00F34AB5">
        <w:rPr>
          <w:i/>
          <w:iCs/>
          <w:spacing w:val="-2"/>
        </w:rPr>
        <w:t>pseudo-macariene,</w:t>
      </w:r>
      <w:r w:rsidRPr="00F34AB5">
        <w:rPr>
          <w:spacing w:val="-2"/>
        </w:rPr>
        <w:t xml:space="preserve"> dar şi Ioan Casian în </w:t>
      </w:r>
      <w:r w:rsidRPr="00F34AB5">
        <w:rPr>
          <w:i/>
          <w:iCs/>
          <w:spacing w:val="-2"/>
        </w:rPr>
        <w:t>Convorbirile</w:t>
      </w:r>
      <w:r w:rsidRPr="00F34AB5">
        <w:rPr>
          <w:spacing w:val="-2"/>
        </w:rPr>
        <w:t xml:space="preserve"> sale duhovniceşti şi Evagrie în </w:t>
      </w:r>
      <w:r w:rsidRPr="00F34AB5">
        <w:rPr>
          <w:i/>
          <w:iCs/>
          <w:spacing w:val="-2"/>
        </w:rPr>
        <w:t>Tratatul Practic</w:t>
      </w:r>
      <w:r w:rsidRPr="00F34AB5">
        <w:rPr>
          <w:spacing w:val="-2"/>
        </w:rPr>
        <w:t xml:space="preserve">, 57 explică în sens spiritual parabola Semănătorului, de origine biblică de altfel, precizând raportul între eficacitatea efortului omenesc şi ajutorul harului în ce priveşte originea şi dezvoltarea virtuţilor: “pământul inimii rodeşte spini şi pălămidă; omul îl lucrează şi trudeşte, dar mărăcinii gândurilor rele cresc mereu. Apoi Duhul Sfânt Însuşi vine în ajutorul slăbiciunii oamenilor, iar Domnul aruncă în pământul inimii sămânţa”. </w:t>
      </w:r>
      <w:r w:rsidRPr="00F34AB5">
        <w:rPr>
          <w:i/>
          <w:iCs/>
          <w:spacing w:val="-2"/>
        </w:rPr>
        <w:t>Omilia</w:t>
      </w:r>
      <w:r w:rsidRPr="00F34AB5">
        <w:rPr>
          <w:spacing w:val="-2"/>
        </w:rPr>
        <w:t xml:space="preserve"> XXVI, 21, PSB 34, p. 212. Tot aici Pseudo-Macarie afirmă originea şi umană a “seminţelor virtuţii”: “agricultorul ară pământul, îl pregăteşte cu grijă şi apoi aruncă sămânţa...” Sfântul Ioan Casian, Scrieri alese, PSB 57, Convorbirea XIII, xii, 7, p. 542: „Deci putem fi siguri că oricărui suflet îi sunt sădite din bunăvoinţa Creatorului seminţele virtuţilor”. La toţi autorii se afirmă originea divină a „seminţelor” dar şi efortul uman liber indispensabil. Cf. şi Columba Stewart, </w:t>
      </w:r>
      <w:r w:rsidRPr="00F34AB5">
        <w:rPr>
          <w:i/>
          <w:iCs/>
          <w:spacing w:val="-2"/>
        </w:rPr>
        <w:t>Cassian Monahul, Învăţătura ascetico-mistică</w:t>
      </w:r>
      <w:r w:rsidRPr="00F34AB5">
        <w:rPr>
          <w:spacing w:val="-2"/>
        </w:rPr>
        <w:t xml:space="preserve">, trad. diac. Ioan I. Ică jr. şi Cristian Pop, ed. Deisis, Sibiu, 2000, p. 138. </w:t>
      </w:r>
    </w:p>
  </w:footnote>
  <w:footnote w:id="1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Mircea </w:t>
      </w:r>
      <w:r w:rsidRPr="00F34AB5">
        <w:rPr>
          <w:spacing w:val="-2"/>
        </w:rPr>
        <w:t xml:space="preserve">Florian, </w:t>
      </w:r>
      <w:r w:rsidRPr="00F34AB5">
        <w:rPr>
          <w:i/>
          <w:spacing w:val="-2"/>
        </w:rPr>
        <w:t>Îndrumare în filosofie</w:t>
      </w:r>
      <w:r w:rsidRPr="00F34AB5">
        <w:rPr>
          <w:spacing w:val="-2"/>
        </w:rPr>
        <w:t>, Ed. Ştiinţifică, Buc. 1992, pp. 100-101. Sfântul Diadoh afirmă filiera iudaică a inspiraţie divine a acestor teorii, atunci când spune că “Dumnezeu a vorbit întâia oară iudeilor despre cele patru virtuţi” ( KG.62) [pietatea, dreptatea, curajul şi cumpătarea] regăsite începând cu Socrate în tezaurul filosofic al întregii lumi. Cu referire la teoria focului-logos el citează de la Deuteronom 4. 24: “Dumnezeul nostru este foc mistuitor” [</w:t>
      </w:r>
      <w:r w:rsidRPr="00F34AB5">
        <w:rPr>
          <w:i/>
          <w:iCs/>
          <w:spacing w:val="-2"/>
        </w:rPr>
        <w:t>cf.</w:t>
      </w:r>
      <w:r w:rsidRPr="00F34AB5">
        <w:rPr>
          <w:spacing w:val="-2"/>
        </w:rPr>
        <w:t xml:space="preserve"> KG 59 (119, 14)], ideie ce are la bază descoperirea lui Dumnezeu pe muntele Sinai în Vechiul Testament. Prin Zenon, filosoful stoic de origine evreiască, multe din aceste idei au fost transmise tradiţiei greceşti în cadrul şcolii filosofice stoice.</w:t>
      </w:r>
    </w:p>
  </w:footnote>
  <w:footnote w:id="1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In. </w:t>
      </w:r>
      <w:r w:rsidRPr="00F34AB5">
        <w:rPr>
          <w:spacing w:val="-2"/>
        </w:rPr>
        <w:t>1, 1-4, 9, citat pe larg de Sfântul Diadoh în KG 80 (138, 7-8) numindu-L “focul sfintei cunoştinţe” (</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ώ</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aprins în oameni prin arătarea Sa în lume.</w:t>
      </w:r>
    </w:p>
  </w:footnote>
  <w:footnote w:id="1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Platon, </w:t>
      </w:r>
      <w:r w:rsidRPr="00F34AB5">
        <w:rPr>
          <w:i/>
          <w:iCs/>
          <w:spacing w:val="-2"/>
        </w:rPr>
        <w:t>Dialoguri</w:t>
      </w:r>
      <w:r w:rsidRPr="00F34AB5">
        <w:rPr>
          <w:spacing w:val="-2"/>
        </w:rPr>
        <w:t xml:space="preserve"> – </w:t>
      </w:r>
      <w:r w:rsidRPr="00F34AB5">
        <w:rPr>
          <w:i/>
          <w:spacing w:val="-2"/>
        </w:rPr>
        <w:t>Menon</w:t>
      </w:r>
      <w:r w:rsidRPr="00F34AB5">
        <w:rPr>
          <w:spacing w:val="-2"/>
        </w:rPr>
        <w:t xml:space="preserve">, traducere Şerban Papacostea, ed. Iri, Buc., 1995, pp. 373-374, 387-388. </w:t>
      </w:r>
    </w:p>
  </w:footnote>
  <w:footnote w:id="18">
    <w:p w:rsidR="004E1738" w:rsidRPr="00F34AB5" w:rsidRDefault="004E1738" w:rsidP="004E1738">
      <w:pPr>
        <w:pStyle w:val="FootnoteText"/>
        <w:jc w:val="both"/>
        <w:rPr>
          <w:bCs/>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74 (132, 23):</w:t>
      </w:r>
      <w:r w:rsidRPr="00F34AB5">
        <w:rPr>
          <w:rFonts w:ascii="WP Greek Century" w:hAnsi="WP Greek Century"/>
          <w:b/>
          <w:spacing w:val="-2"/>
          <w:sz w:val="24"/>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Cf. şi Sfântul Ioan Casian </w:t>
      </w:r>
      <w:r w:rsidRPr="00F34AB5">
        <w:rPr>
          <w:bCs/>
          <w:i/>
          <w:iCs/>
          <w:spacing w:val="-2"/>
        </w:rPr>
        <w:t>Convorbirea XIII, xii, 1-6</w:t>
      </w:r>
      <w:r w:rsidRPr="00F34AB5">
        <w:rPr>
          <w:bCs/>
          <w:spacing w:val="-2"/>
        </w:rPr>
        <w:t>, PSB 57, ed. IBM al BOR, Bucureşti 1990, pp. 540-541: unde spune că „neamul omenesc, după căderea lui Adam, n-a pierdut ştiinţa binelui pe care o primise mai înainte”, identificând bunătatea firii cu legea naturală morală sădită în fire despre care mărturiseşte conştiinţa. (Rom. II, 14-15).</w:t>
      </w:r>
    </w:p>
  </w:footnote>
  <w:footnote w:id="1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48</w:t>
      </w:r>
      <w:r w:rsidRPr="00F34AB5">
        <w:rPr>
          <w:spacing w:val="-2"/>
          <w:lang w:val="el-GR"/>
        </w:rPr>
        <w:t xml:space="preserve"> (</w:t>
      </w:r>
      <w:r w:rsidRPr="00F34AB5">
        <w:rPr>
          <w:spacing w:val="-2"/>
        </w:rPr>
        <w:t>112, 19-20):</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2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73:</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21">
    <w:p w:rsidR="004E1738" w:rsidRPr="00F34AB5" w:rsidRDefault="004E1738" w:rsidP="004E1738">
      <w:pPr>
        <w:pStyle w:val="FootnoteText"/>
        <w:jc w:val="both"/>
        <w:rPr>
          <w:spacing w:val="-2"/>
          <w:lang w:val="el-GR"/>
        </w:rPr>
      </w:pPr>
      <w:r w:rsidRPr="00F34AB5">
        <w:rPr>
          <w:rStyle w:val="FootnoteReference"/>
          <w:spacing w:val="-2"/>
        </w:rPr>
        <w:footnoteRef/>
      </w:r>
      <w:r w:rsidRPr="00F34AB5">
        <w:rPr>
          <w:spacing w:val="-2"/>
        </w:rPr>
        <w:t xml:space="preserve"> </w:t>
      </w:r>
      <w:r w:rsidRPr="00F34AB5">
        <w:rPr>
          <w:spacing w:val="-2"/>
        </w:rPr>
        <w:t xml:space="preserve">Definiţia 5 </w:t>
      </w:r>
      <w:r w:rsidRPr="00F34AB5">
        <w:rPr>
          <w:spacing w:val="-2"/>
          <w:lang w:val="el-GR"/>
        </w:rPr>
        <w:t xml:space="preserve">(84, 10), </w:t>
      </w:r>
      <w:r w:rsidRPr="00F34AB5">
        <w:rPr>
          <w:spacing w:val="-2"/>
        </w:rPr>
        <w:t>KG</w:t>
      </w:r>
      <w:r w:rsidRPr="00F34AB5">
        <w:rPr>
          <w:spacing w:val="-2"/>
          <w:lang w:val="el-GR"/>
        </w:rPr>
        <w:t xml:space="preserve"> 66 (126, 10), </w:t>
      </w:r>
      <w:r w:rsidRPr="00F34AB5">
        <w:rPr>
          <w:spacing w:val="-2"/>
        </w:rPr>
        <w:t>KG 74</w:t>
      </w:r>
      <w:r w:rsidRPr="00F34AB5">
        <w:rPr>
          <w:spacing w:val="-2"/>
          <w:lang w:val="el-GR"/>
        </w:rPr>
        <w:t xml:space="preserve"> (132, 18), </w:t>
      </w:r>
    </w:p>
  </w:footnote>
  <w:footnote w:id="2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76 (134, 13-15).</w:t>
      </w:r>
    </w:p>
  </w:footnote>
  <w:footnote w:id="2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68 (128, 12-14).</w:t>
      </w:r>
    </w:p>
  </w:footnote>
  <w:footnote w:id="2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67 (127, 22-23).</w:t>
      </w:r>
    </w:p>
  </w:footnote>
  <w:footnote w:id="2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Vedere </w:t>
      </w:r>
      <w:r w:rsidRPr="00F34AB5">
        <w:rPr>
          <w:spacing w:val="-2"/>
        </w:rPr>
        <w:t>18 (174, 13, 14, 21):</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p>
  </w:footnote>
  <w:footnote w:id="2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26 (97, 19-20). Mintea îşi însuşeşte gândurile bune prin formaţiunile neuroanatomice thalamice ale dorinţei – nucleii amigdalieni şi sistemul limbic, care stimulează prin descărcările de neurotransmiţători neuronii specializaţi în memorizarea pe termen lung din formaţiunile h</w:t>
      </w:r>
      <w:r w:rsidRPr="00F34AB5">
        <w:rPr>
          <w:bCs/>
          <w:spacing w:val="-2"/>
        </w:rPr>
        <w:t xml:space="preserve">ipocampice ce se proiectează în cele două emisfere cerebrale. Cf. J-Y et Marc Tadie, </w:t>
      </w:r>
      <w:r w:rsidRPr="00F34AB5">
        <w:rPr>
          <w:bCs/>
          <w:i/>
          <w:iCs/>
          <w:spacing w:val="-2"/>
        </w:rPr>
        <w:t>Le sens de la memoire</w:t>
      </w:r>
      <w:r w:rsidRPr="00F34AB5">
        <w:rPr>
          <w:bCs/>
          <w:spacing w:val="-2"/>
        </w:rPr>
        <w:t>,</w:t>
      </w:r>
      <w:r w:rsidRPr="00F34AB5">
        <w:rPr>
          <w:bCs/>
          <w:spacing w:val="-2"/>
          <w:lang w:val="el-GR"/>
        </w:rPr>
        <w:t xml:space="preserve"> </w:t>
      </w:r>
      <w:r w:rsidRPr="00F34AB5">
        <w:rPr>
          <w:bCs/>
          <w:spacing w:val="-2"/>
        </w:rPr>
        <w:t>Paris, Gallimard, 1999, p. 111.</w:t>
      </w:r>
    </w:p>
  </w:footnote>
  <w:footnote w:id="2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73 (132, 2, 7).</w:t>
      </w:r>
    </w:p>
  </w:footnote>
  <w:footnote w:id="2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73 (132, 9-10).</w:t>
      </w:r>
    </w:p>
  </w:footnote>
  <w:footnote w:id="2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85 (145, 1-3).</w:t>
      </w:r>
    </w:p>
  </w:footnote>
  <w:footnote w:id="3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Evagrie </w:t>
      </w:r>
      <w:r w:rsidRPr="00F34AB5">
        <w:rPr>
          <w:spacing w:val="-2"/>
        </w:rPr>
        <w:t xml:space="preserve">Ponticul, </w:t>
      </w:r>
      <w:r w:rsidRPr="00F34AB5">
        <w:rPr>
          <w:i/>
          <w:spacing w:val="-2"/>
        </w:rPr>
        <w:t>Capete despre deosebirea patimilor şi a gândurilor</w:t>
      </w:r>
      <w:r w:rsidRPr="00F34AB5">
        <w:rPr>
          <w:spacing w:val="-2"/>
        </w:rPr>
        <w:t>, cap.24, în FR 1, ed. cit., Buc., 1993, p. 95.</w:t>
      </w:r>
    </w:p>
  </w:footnote>
  <w:footnote w:id="3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i/>
          <w:iCs/>
          <w:spacing w:val="-2"/>
        </w:rPr>
        <w:t>Cf.</w:t>
      </w:r>
      <w:r w:rsidRPr="00F34AB5">
        <w:rPr>
          <w:spacing w:val="-2"/>
        </w:rPr>
        <w:t xml:space="preserve"> </w:t>
      </w:r>
      <w:r w:rsidRPr="00F34AB5">
        <w:rPr>
          <w:spacing w:val="-2"/>
        </w:rPr>
        <w:t xml:space="preserve">Vl. Lossky, </w:t>
      </w:r>
      <w:r w:rsidRPr="00F34AB5">
        <w:rPr>
          <w:i/>
          <w:spacing w:val="-2"/>
        </w:rPr>
        <w:t>Vederea lui Dumnezeu,</w:t>
      </w:r>
      <w:r w:rsidRPr="00F34AB5">
        <w:rPr>
          <w:spacing w:val="-2"/>
        </w:rPr>
        <w:t xml:space="preserve"> trad. Arhid dr. Ioan I. Ică jr. ed. Deisis, Sibiu, 1995, p. 94.</w:t>
      </w:r>
    </w:p>
  </w:footnote>
  <w:footnote w:id="3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bCs/>
          <w:spacing w:val="-2"/>
        </w:rPr>
        <w:t xml:space="preserve">Cf. </w:t>
      </w:r>
      <w:r w:rsidRPr="00F34AB5">
        <w:rPr>
          <w:bCs/>
          <w:spacing w:val="-2"/>
        </w:rPr>
        <w:t xml:space="preserve">Paul Evdokimov, </w:t>
      </w:r>
      <w:r w:rsidRPr="00F34AB5">
        <w:rPr>
          <w:bCs/>
          <w:i/>
          <w:iCs/>
          <w:spacing w:val="-2"/>
        </w:rPr>
        <w:t>La conaissance de Dieu selon la Tradition orientale, L’enseignement patristique, liturgique et iconographique</w:t>
      </w:r>
      <w:r w:rsidRPr="00F34AB5">
        <w:rPr>
          <w:bCs/>
          <w:spacing w:val="-2"/>
        </w:rPr>
        <w:t>, Desclée de Brouwer, 1988, p. 19.</w:t>
      </w:r>
    </w:p>
  </w:footnote>
  <w:footnote w:id="3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Pseudo-Macarie </w:t>
      </w:r>
      <w:r w:rsidRPr="00F34AB5">
        <w:rPr>
          <w:spacing w:val="-2"/>
        </w:rPr>
        <w:t xml:space="preserve">defineşte experienţa harului ca fiind dată de sentiment, de gust, de siguranţă, de putere şi de lucrarea Duhului Sfânt: “gustarea înseamnă (împărtăşirea cu) puterea Duhului, care lucrează în inimă”; “harul … devine stăpân peste toate mădularele şi cugetele”, etc. </w:t>
      </w:r>
      <w:r w:rsidRPr="00F34AB5">
        <w:rPr>
          <w:i/>
          <w:iCs/>
          <w:spacing w:val="-2"/>
        </w:rPr>
        <w:t>cf.</w:t>
      </w:r>
      <w:r w:rsidRPr="00F34AB5">
        <w:rPr>
          <w:spacing w:val="-2"/>
        </w:rPr>
        <w:t xml:space="preserve"> Macarie Egipteanul, </w:t>
      </w:r>
      <w:r w:rsidRPr="00F34AB5">
        <w:rPr>
          <w:i/>
          <w:spacing w:val="-2"/>
        </w:rPr>
        <w:t>Omilii</w:t>
      </w:r>
      <w:r w:rsidRPr="00F34AB5">
        <w:rPr>
          <w:spacing w:val="-2"/>
        </w:rPr>
        <w:t xml:space="preserve">, PSB 34, pp. 159 şi 393.  </w:t>
      </w:r>
    </w:p>
  </w:footnote>
  <w:footnote w:id="3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82 (141, 4, 26):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r w:rsidRPr="00F34AB5">
        <w:rPr>
          <w:i/>
          <w:iCs/>
          <w:spacing w:val="-2"/>
        </w:rPr>
        <w:t xml:space="preserve"> cf.</w:t>
      </w:r>
      <w:r w:rsidRPr="00F34AB5">
        <w:rPr>
          <w:spacing w:val="-2"/>
        </w:rPr>
        <w:t xml:space="preserve"> Rom. 7, 22.</w:t>
      </w:r>
    </w:p>
  </w:footnote>
  <w:footnote w:id="3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69 (129, 10-11).</w:t>
      </w:r>
    </w:p>
  </w:footnote>
  <w:footnote w:id="3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80 (138, 7-8).</w:t>
      </w:r>
    </w:p>
  </w:footnote>
  <w:footnote w:id="3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75 (134, 1-3):</w:t>
      </w:r>
      <w:r w:rsidRPr="00F34AB5">
        <w:rPr>
          <w:rFonts w:ascii="WP Greek Century" w:hAnsi="WP Greek Century"/>
          <w:b/>
          <w:spacing w:val="-2"/>
          <w:sz w:val="24"/>
        </w:rPr>
        <w:t></w:t>
      </w:r>
      <w:r w:rsidRPr="00F34AB5">
        <w:rPr>
          <w:rFonts w:ascii="WP Greek Century" w:hAnsi="WP Greek Century"/>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3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78 (135, 21).</w:t>
      </w:r>
    </w:p>
  </w:footnote>
  <w:footnote w:id="3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85 (144, 21-24).</w:t>
      </w:r>
    </w:p>
  </w:footnote>
  <w:footnote w:id="4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59 (119, 14-16).</w:t>
      </w:r>
    </w:p>
  </w:footnote>
  <w:footnote w:id="4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33 (102, 18-20).</w:t>
      </w:r>
    </w:p>
  </w:footnote>
  <w:footnote w:id="42">
    <w:p w:rsidR="004E1738" w:rsidRPr="00EC09B2"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78 (136, 20):</w:t>
      </w:r>
      <w:r w:rsidRPr="00F34AB5">
        <w:rPr>
          <w:rFonts w:ascii="WP Greek Century" w:hAnsi="WP Greek Century"/>
          <w:b/>
          <w:spacing w:val="-2"/>
          <w:sz w:val="24"/>
        </w:rPr>
        <w:t></w:t>
      </w:r>
      <w:r w:rsidRPr="00F34AB5">
        <w:rPr>
          <w:rFonts w:ascii="WP Greek Century" w:hAnsi="WP Greek Century"/>
          <w:bCs/>
          <w:spacing w:val="-2"/>
        </w:rPr>
        <w:t></w:t>
      </w:r>
      <w:r w:rsidRPr="00F34AB5">
        <w:rPr>
          <w:rFonts w:ascii="WP Greek Century" w:hAnsi="WP Greek Century"/>
          <w:bCs/>
          <w:spacing w:val="-2"/>
        </w:rPr>
        <w:t></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La nivel neurofiziologic se produce o extindere a noilor conexiuni sinaptice ce stochează noua engramă a virtuţii dobândite ca deprindere în „jitniţele firii” - formaţiunile hipocampice cu rol în stocarea </w:t>
      </w:r>
      <w:r w:rsidRPr="00EC09B2">
        <w:rPr>
          <w:bCs/>
          <w:spacing w:val="-2"/>
        </w:rPr>
        <w:t>memoriei de termen lung, engrame ce vor fi activate sau consultate de fiecare dată când se va ivi o situaţie similară, conexiunile cu centrii afectivi thalamici şi cu cei axiologici prefrontali oferind impulsul ce hotărăşte voinţa omului.</w:t>
      </w:r>
    </w:p>
  </w:footnote>
  <w:footnote w:id="43">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61 (121, 14).</w:t>
      </w:r>
    </w:p>
  </w:footnote>
  <w:footnote w:id="44">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61 (121, 4).</w:t>
      </w:r>
    </w:p>
  </w:footnote>
  <w:footnote w:id="45">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93 (155, 7-8)</w:t>
      </w:r>
      <w:r w:rsidRPr="00EC09B2">
        <w:t>.</w:t>
      </w:r>
    </w:p>
  </w:footnote>
  <w:footnote w:id="46">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KG 94 (155, 16-17, 156, 4-5).</w:t>
      </w:r>
    </w:p>
  </w:footnote>
  <w:footnote w:id="47">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83 (143, 18).</w:t>
      </w:r>
    </w:p>
  </w:footnote>
  <w:footnote w:id="48">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Evagrie </w:t>
      </w:r>
      <w:r w:rsidRPr="00EC09B2">
        <w:rPr>
          <w:spacing w:val="-2"/>
        </w:rPr>
        <w:t xml:space="preserve">Ponticul, </w:t>
      </w:r>
      <w:r w:rsidRPr="00EC09B2">
        <w:rPr>
          <w:i/>
          <w:spacing w:val="-2"/>
        </w:rPr>
        <w:t>Cuvânt despre rugăciune împărţit în 153 de capete</w:t>
      </w:r>
      <w:r w:rsidRPr="00EC09B2">
        <w:rPr>
          <w:spacing w:val="-2"/>
        </w:rPr>
        <w:t xml:space="preserve">, cap. 63, în FR vol.I, ed. Harisma, Buc., 1993, p. 113. Ispitele sau gândurile demonice ca şi adulter al sufletului se produc în complexul neurofiziologic hipotalamo-hipofizar, (cămara de nuntă de jos a minţii ce conduce firea inferioară – hipo-physis, inducându-i prin plexul solar emotivitatea somatică, erotică, colerică, etc, la nivel sexual şi toracic). Gândurile harice, divine sunt primite în thalamusul (cămara propriu-zisă de nuntă a sufletului, filtrul afectivităţii superioare) aflat în legătură cu hipotalamusul asupra căruia transmite pacea şi liniştea inspirate de gândurile divine prin neurotransmiţătorii emişi de nucleii amigdalieni şi inelul limbic.      </w:t>
      </w:r>
    </w:p>
  </w:footnote>
  <w:footnote w:id="49">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85 (145, 1-6).</w:t>
      </w:r>
    </w:p>
  </w:footnote>
  <w:footnote w:id="50">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i/>
          <w:iCs/>
          <w:spacing w:val="-2"/>
        </w:rPr>
        <w:t>Cf.</w:t>
      </w:r>
      <w:r w:rsidRPr="00EC09B2">
        <w:rPr>
          <w:spacing w:val="-2"/>
        </w:rPr>
        <w:t xml:space="preserve"> </w:t>
      </w:r>
      <w:r w:rsidRPr="00EC09B2">
        <w:rPr>
          <w:spacing w:val="-2"/>
        </w:rPr>
        <w:t xml:space="preserve">Sfântul Ioan Damaschin, </w:t>
      </w:r>
      <w:r w:rsidRPr="00EC09B2">
        <w:rPr>
          <w:i/>
          <w:spacing w:val="-2"/>
        </w:rPr>
        <w:t>De haeresibus liber</w:t>
      </w:r>
      <w:r w:rsidRPr="00EC09B2">
        <w:rPr>
          <w:spacing w:val="-2"/>
        </w:rPr>
        <w:t xml:space="preserve">, prop. 4, 5, 6, PG 94, col. 729.  </w:t>
      </w:r>
    </w:p>
  </w:footnote>
  <w:footnote w:id="51">
    <w:p w:rsidR="004E1738" w:rsidRPr="00EC09B2"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 xml:space="preserve">KG </w:t>
      </w:r>
      <w:r w:rsidRPr="00EC09B2">
        <w:rPr>
          <w:spacing w:val="-2"/>
        </w:rPr>
        <w:t>89 (149, 19-22):</w:t>
      </w:r>
      <w:r w:rsidRPr="00EC09B2">
        <w:rPr>
          <w:rFonts w:ascii="WP Greek Century" w:hAnsi="WP Greek Century"/>
          <w:b/>
          <w:spacing w:val="-2"/>
          <w:sz w:val="24"/>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bCs/>
          <w:spacing w:val="-2"/>
        </w:rPr>
        <w:t>ώ</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t>.</w:t>
      </w:r>
    </w:p>
  </w:footnote>
  <w:footnote w:id="52">
    <w:p w:rsidR="004E1738" w:rsidRPr="00F34AB5" w:rsidRDefault="004E1738" w:rsidP="004E1738">
      <w:pPr>
        <w:pStyle w:val="FootnoteText"/>
        <w:jc w:val="both"/>
        <w:rPr>
          <w:spacing w:val="-2"/>
        </w:rPr>
      </w:pPr>
      <w:r w:rsidRPr="00EC09B2">
        <w:rPr>
          <w:rStyle w:val="FootnoteReference"/>
          <w:spacing w:val="-2"/>
        </w:rPr>
        <w:footnoteRef/>
      </w:r>
      <w:r w:rsidRPr="00EC09B2">
        <w:rPr>
          <w:spacing w:val="-2"/>
        </w:rPr>
        <w:t xml:space="preserve"> </w:t>
      </w:r>
      <w:r w:rsidRPr="00EC09B2">
        <w:rPr>
          <w:spacing w:val="-2"/>
        </w:rPr>
        <w:t>KG 93 (154, 22-23):</w:t>
      </w:r>
      <w:r w:rsidRPr="00EC09B2">
        <w:rPr>
          <w:rFonts w:ascii="WP Greek Century" w:hAnsi="WP Greek Century"/>
          <w:b/>
          <w:spacing w:val="-2"/>
          <w:sz w:val="24"/>
        </w:rPr>
        <w:t></w:t>
      </w:r>
      <w:r w:rsidRPr="00EC09B2">
        <w:rPr>
          <w:rFonts w:ascii="WP Greek Century" w:hAnsi="WP Greek Century"/>
          <w:bCs/>
          <w:spacing w:val="-2"/>
        </w:rPr>
        <w:t></w:t>
      </w:r>
      <w:r w:rsidRPr="00EC09B2">
        <w:rPr>
          <w:rFonts w:ascii="WP Greek Century" w:hAnsi="WP Greek Century"/>
          <w:bCs/>
          <w:spacing w:val="-2"/>
        </w:rPr>
        <w:t></w:t>
      </w:r>
      <w:r w:rsidRPr="00EC09B2">
        <w:rPr>
          <w:bCs/>
          <w:spacing w:val="-2"/>
        </w:rPr>
        <w:t>έ</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bCs/>
          <w:spacing w:val="-2"/>
        </w:rPr>
        <w:t xml:space="preserve"> </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EC09B2">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5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29 (100, 8-12).</w:t>
      </w:r>
    </w:p>
  </w:footnote>
  <w:footnote w:id="5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85 (145, 8):</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spacing w:val="-2"/>
        </w:rPr>
        <w:t>.</w:t>
      </w:r>
    </w:p>
  </w:footnote>
  <w:footnote w:id="5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59 (119, 14-16).</w:t>
      </w:r>
    </w:p>
  </w:footnote>
  <w:footnote w:id="5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85 (145, 10-11):</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ώ</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5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16 (93, 13-14).</w:t>
      </w:r>
    </w:p>
  </w:footnote>
  <w:footnote w:id="5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42 (109, 12): </w:t>
      </w:r>
      <w:r w:rsidRPr="00F34AB5">
        <w:rPr>
          <w:spacing w:val="-2"/>
        </w:rPr>
        <w:sym w:font="WP Greek Century" w:char="F0BA"/>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ώ</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5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napToGrid w:val="0"/>
          <w:spacing w:val="-2"/>
        </w:rPr>
        <w:t>1 (85, 11-12).</w:t>
      </w:r>
    </w:p>
  </w:footnote>
  <w:footnote w:id="60">
    <w:p w:rsidR="004E1738" w:rsidRPr="00F34AB5" w:rsidRDefault="004E1738" w:rsidP="004E1738">
      <w:pPr>
        <w:pStyle w:val="FootnoteText"/>
        <w:jc w:val="both"/>
        <w:rPr>
          <w:spacing w:val="-2"/>
        </w:rPr>
      </w:pPr>
      <w:r w:rsidRPr="00F34AB5">
        <w:rPr>
          <w:rStyle w:val="FootnoteReference"/>
          <w:spacing w:val="-2"/>
        </w:rPr>
        <w:footnoteRef/>
      </w:r>
      <w:r w:rsidRPr="00F34AB5">
        <w:rPr>
          <w:rFonts w:ascii="WP Greek Century" w:hAnsi="WP Greek Century"/>
          <w:spacing w:val="-2"/>
        </w:rPr>
        <w:t></w:t>
      </w:r>
      <w:r w:rsidRPr="00F34AB5">
        <w:rPr>
          <w:spacing w:val="-2"/>
        </w:rPr>
        <w:t>KG</w:t>
      </w:r>
      <w:r w:rsidRPr="00F34AB5">
        <w:rPr>
          <w:rFonts w:ascii="WP Greek Century" w:hAnsi="WP Greek Century"/>
          <w:spacing w:val="-2"/>
        </w:rPr>
        <w:t></w:t>
      </w:r>
      <w:r w:rsidRPr="00F34AB5">
        <w:rPr>
          <w:spacing w:val="-2"/>
        </w:rPr>
        <w:t>42</w:t>
      </w:r>
      <w:r w:rsidRPr="00F34AB5">
        <w:rPr>
          <w:rFonts w:ascii="WP Greek Century" w:hAnsi="WP Greek Century"/>
          <w:spacing w:val="-2"/>
        </w:rPr>
        <w:t></w:t>
      </w:r>
      <w:r w:rsidRPr="00F34AB5">
        <w:rPr>
          <w:spacing w:val="-2"/>
        </w:rPr>
        <w:t>(109,</w:t>
      </w:r>
      <w:r w:rsidRPr="00F34AB5">
        <w:rPr>
          <w:rFonts w:ascii="WP Greek Century" w:hAnsi="WP Greek Century"/>
          <w:spacing w:val="-2"/>
        </w:rPr>
        <w:t></w:t>
      </w:r>
      <w:r w:rsidRPr="00F34AB5">
        <w:rPr>
          <w:spacing w:val="-2"/>
        </w:rPr>
        <w:t>18</w:t>
      </w:r>
      <w:r w:rsidRPr="00F34AB5">
        <w:rPr>
          <w:spacing w:val="-2"/>
          <w:lang w:val="el-GR"/>
        </w:rPr>
        <w:t>/</w:t>
      </w:r>
      <w:r w:rsidRPr="00F34AB5">
        <w:rPr>
          <w:spacing w:val="-2"/>
        </w:rPr>
        <w:t>19):</w:t>
      </w:r>
      <w:r w:rsidRPr="00F34AB5">
        <w:rPr>
          <w:rFonts w:ascii="WP Greek Century" w:hAnsi="WP Greek Century"/>
          <w:spacing w:val="-2"/>
        </w:rPr>
        <w:t></w:t>
      </w:r>
      <w:r w:rsidRPr="00F34AB5">
        <w:rPr>
          <w:rFonts w:ascii="WP Greek Century" w:hAnsi="WP Greek Century"/>
          <w:spacing w:val="-2"/>
        </w:rPr>
        <w:sym w:font="WP Greek Century" w:char="F0A6"/>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έ</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έ</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6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25 (97, 15):</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6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51 (114, 10-12)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98 (160, 20-22). </w:t>
      </w:r>
    </w:p>
  </w:footnote>
  <w:footnote w:id="6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53 (115, 8), 74 (133, 8-11).</w:t>
      </w:r>
    </w:p>
  </w:footnote>
  <w:footnote w:id="6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93 (154, 15), concepţia se regăseşte la scriitorul creştin Lactanţiu sec. III-IV, </w:t>
      </w:r>
      <w:r w:rsidRPr="00F34AB5">
        <w:rPr>
          <w:i/>
          <w:iCs/>
          <w:spacing w:val="-2"/>
        </w:rPr>
        <w:t>Divinae Institutiones</w:t>
      </w:r>
      <w:r w:rsidRPr="00F34AB5">
        <w:rPr>
          <w:spacing w:val="-2"/>
        </w:rPr>
        <w:t>, CSEL, vol. XIX, Pars I, ed. Samuel Brandt, Praga, Viena, Leipzig, 1890 Cartea VI, 4, 1: „Calea virtuţii şi a binelui duce nu în Câmpiile Elizee, cum zic poeţii, ci la cetatea însăşi a lumii.”</w:t>
      </w:r>
      <w:r w:rsidRPr="00F34AB5">
        <w:rPr>
          <w:i/>
          <w:iCs/>
          <w:spacing w:val="-2"/>
          <w:sz w:val="24"/>
        </w:rPr>
        <w:t xml:space="preserve"> </w:t>
      </w:r>
      <w:r w:rsidRPr="00F34AB5">
        <w:rPr>
          <w:spacing w:val="-2"/>
        </w:rPr>
        <w:t>apud, Pr. Prof. Ioan G. Coman</w:t>
      </w:r>
      <w:r w:rsidRPr="00F34AB5">
        <w:rPr>
          <w:i/>
          <w:iCs/>
          <w:spacing w:val="-2"/>
        </w:rPr>
        <w:t>, Probleme de filosofie şi literatură patristică</w:t>
      </w:r>
      <w:r w:rsidRPr="00F34AB5">
        <w:rPr>
          <w:spacing w:val="-2"/>
        </w:rPr>
        <w:t>, ed. IBM al BOR, Bucureşti, 1995, p. 180.</w:t>
      </w:r>
    </w:p>
  </w:footnote>
  <w:footnote w:id="6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65 (125, 8), 6 (87, 3).</w:t>
      </w:r>
    </w:p>
  </w:footnote>
  <w:footnote w:id="6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57 (118, 1-2), 82 (140, 9-15): adâncul sufletului ca şi casă curată a Duhului sau a diavolului, KG 84 (144, 2-11).</w:t>
      </w:r>
    </w:p>
  </w:footnote>
  <w:footnote w:id="6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72 – 74 (131, 12 – 133, 11), 81 – 82 (139, 1 – 142, 21) , 89 (149, 19).</w:t>
      </w:r>
    </w:p>
  </w:footnote>
  <w:footnote w:id="6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82 (141, 5-12), cf. Ef. 6, 14-17, 85 (145, 6), 98 (160, 11-20)</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6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KG 65 (125, 17, 21).</w:t>
      </w:r>
    </w:p>
  </w:footnote>
  <w:footnote w:id="7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89 (150, 5).</w:t>
      </w:r>
    </w:p>
  </w:footnote>
  <w:footnote w:id="71">
    <w:p w:rsidR="004E1738" w:rsidRPr="00F34AB5" w:rsidRDefault="004E1738" w:rsidP="004E1738">
      <w:pPr>
        <w:jc w:val="both"/>
        <w:rPr>
          <w:spacing w:val="-2"/>
        </w:rPr>
      </w:pPr>
      <w:r w:rsidRPr="00F34AB5">
        <w:rPr>
          <w:rStyle w:val="FootnoteReference"/>
          <w:spacing w:val="-2"/>
        </w:rPr>
        <w:footnoteRef/>
      </w:r>
      <w:r w:rsidRPr="00F34AB5">
        <w:rPr>
          <w:spacing w:val="-2"/>
        </w:rPr>
        <w:t xml:space="preserve"> </w:t>
      </w:r>
      <w:r w:rsidRPr="00F34AB5">
        <w:rPr>
          <w:spacing w:val="-2"/>
        </w:rPr>
        <w:t xml:space="preserve">Fericitul </w:t>
      </w:r>
      <w:r w:rsidRPr="00F34AB5">
        <w:rPr>
          <w:spacing w:val="-2"/>
        </w:rPr>
        <w:t xml:space="preserve">Ieronim afirmă că “cei care cred în </w:t>
      </w:r>
      <w:r w:rsidRPr="00F34AB5">
        <w:rPr>
          <w:i/>
          <w:iCs/>
          <w:spacing w:val="-2"/>
        </w:rPr>
        <w:t>apatheia</w:t>
      </w:r>
      <w:r w:rsidRPr="00F34AB5">
        <w:rPr>
          <w:spacing w:val="-2"/>
        </w:rPr>
        <w:t xml:space="preserve"> sau </w:t>
      </w:r>
      <w:r w:rsidRPr="00F34AB5">
        <w:rPr>
          <w:i/>
          <w:iCs/>
          <w:spacing w:val="-2"/>
        </w:rPr>
        <w:t>anamartia</w:t>
      </w:r>
      <w:r w:rsidRPr="00F34AB5">
        <w:rPr>
          <w:spacing w:val="-2"/>
        </w:rPr>
        <w:t xml:space="preserve"> sunt discipoli ai filosofilor păgâni, Pitagora şi îndeosebi ai stoicilor Zeno şi Cicero, această doctrină fiind preluată de către Origen care a răspândit-o la creştini; în această eroare au căzut în special ereticii sirieni numiţi Messalieni sau Evhiţi”. Sfântul Ieronim: </w:t>
      </w:r>
      <w:r w:rsidRPr="00F34AB5">
        <w:rPr>
          <w:i/>
          <w:spacing w:val="-2"/>
        </w:rPr>
        <w:t>De gestis Pelagii</w:t>
      </w:r>
      <w:r w:rsidRPr="00F34AB5">
        <w:rPr>
          <w:spacing w:val="-2"/>
        </w:rPr>
        <w:t xml:space="preserve">, 24 PL. 44, 334. Messalienii afirmau că numai rugăciunea îl poate duce pe om la </w:t>
      </w:r>
      <w:r w:rsidRPr="00F34AB5">
        <w:rPr>
          <w:i/>
          <w:iCs/>
          <w:spacing w:val="-2"/>
        </w:rPr>
        <w:t>apatheia</w:t>
      </w:r>
      <w:r w:rsidRPr="00F34AB5">
        <w:rPr>
          <w:spacing w:val="-2"/>
        </w:rPr>
        <w:t xml:space="preserve">, recunoscând păcatul originar dar considerând Taina Botezului şi toate celelalte Sfinte Taine ca ineficace şi fără consecinţe importante în viaţa spirituală a credinciosului. Numai rugăciunea tumultoasă, fără nici un efort ascetic, este necesară pentru a atinge </w:t>
      </w:r>
      <w:r w:rsidRPr="00F34AB5">
        <w:rPr>
          <w:i/>
          <w:iCs/>
          <w:spacing w:val="-2"/>
        </w:rPr>
        <w:t>apatheia</w:t>
      </w:r>
      <w:r w:rsidRPr="00F34AB5">
        <w:rPr>
          <w:spacing w:val="-2"/>
        </w:rPr>
        <w:t xml:space="preserve"> şi în această stare, conform concepţiei lor, omul îl poate vedea cu ochii săi trupeşti pe însuşi Dumnezeu. Sfântul Ioan Damaschin, </w:t>
      </w:r>
      <w:r w:rsidRPr="00F34AB5">
        <w:rPr>
          <w:i/>
          <w:spacing w:val="-2"/>
        </w:rPr>
        <w:t>De haeresibus liber</w:t>
      </w:r>
      <w:r w:rsidRPr="00F34AB5">
        <w:rPr>
          <w:spacing w:val="-2"/>
        </w:rPr>
        <w:t xml:space="preserve"> 96, Prop. 4, 6, 7, 14, in P.G. 94, col. 729-732.</w:t>
      </w:r>
    </w:p>
  </w:footnote>
  <w:footnote w:id="7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Pentru </w:t>
      </w:r>
      <w:r w:rsidRPr="00F34AB5">
        <w:rPr>
          <w:spacing w:val="-2"/>
        </w:rPr>
        <w:t xml:space="preserve">pelagieni apatheia a fost înţeleasă ca impassibilitas sau anamartisia (nepăcătuire) sau impeccantia, întregul lor discurs centrându-se pe întrebarea: “pose hominem sine peccato esse“ (poate omul să fie fără păcat) Saint Jerome: </w:t>
      </w:r>
      <w:r w:rsidRPr="00F34AB5">
        <w:rPr>
          <w:i/>
          <w:spacing w:val="-2"/>
        </w:rPr>
        <w:t>De gestis Pelagii</w:t>
      </w:r>
      <w:r w:rsidRPr="00F34AB5">
        <w:rPr>
          <w:spacing w:val="-2"/>
        </w:rPr>
        <w:t xml:space="preserve">, 24 PL 44, 334, adică pe consideraţia că natura şi voinţa umană sunt îndeajuns de puternice pentru a domina şi a distruge patimile, ascetul creştin fiind capabil să dezrădăcineze în mod complet patimile sale şi să atingă starea desăvârşită de </w:t>
      </w:r>
      <w:r w:rsidRPr="00F34AB5">
        <w:rPr>
          <w:i/>
          <w:iCs/>
          <w:spacing w:val="-2"/>
        </w:rPr>
        <w:t>apatheia</w:t>
      </w:r>
      <w:r w:rsidRPr="00F34AB5">
        <w:rPr>
          <w:spacing w:val="-2"/>
        </w:rPr>
        <w:t xml:space="preserve"> chiar în aceeaşi măsură ca şi Însuşi Dumnezeu”</w:t>
      </w:r>
      <w:r w:rsidRPr="00F34AB5">
        <w:rPr>
          <w:spacing w:val="-2"/>
          <w:vertAlign w:val="superscript"/>
        </w:rPr>
        <w:t xml:space="preserve"> </w:t>
      </w:r>
      <w:r w:rsidRPr="00F34AB5">
        <w:rPr>
          <w:spacing w:val="-2"/>
        </w:rPr>
        <w:t xml:space="preserve">P. Pourrat, </w:t>
      </w:r>
      <w:r w:rsidRPr="00F34AB5">
        <w:rPr>
          <w:i/>
          <w:spacing w:val="-2"/>
        </w:rPr>
        <w:t>La spiritualite chretienne</w:t>
      </w:r>
      <w:r w:rsidRPr="00F34AB5">
        <w:rPr>
          <w:spacing w:val="-2"/>
        </w:rPr>
        <w:t xml:space="preserve">, t.1, P. 274, </w:t>
      </w:r>
      <w:r w:rsidRPr="00F34AB5">
        <w:rPr>
          <w:i/>
          <w:iCs/>
          <w:spacing w:val="-2"/>
        </w:rPr>
        <w:t>apud</w:t>
      </w:r>
      <w:r w:rsidRPr="00F34AB5">
        <w:rPr>
          <w:spacing w:val="-2"/>
        </w:rPr>
        <w:t xml:space="preserve"> D. Sp. vol. I, Col 738.</w:t>
      </w:r>
    </w:p>
  </w:footnote>
  <w:footnote w:id="73">
    <w:p w:rsidR="004E1738" w:rsidRPr="00F34AB5" w:rsidRDefault="004E1738" w:rsidP="004E1738">
      <w:pPr>
        <w:jc w:val="both"/>
        <w:rPr>
          <w:spacing w:val="-2"/>
        </w:rPr>
      </w:pPr>
      <w:r w:rsidRPr="00F34AB5">
        <w:rPr>
          <w:rStyle w:val="FootnoteReference"/>
          <w:spacing w:val="-2"/>
        </w:rPr>
        <w:footnoteRef/>
      </w:r>
      <w:r w:rsidRPr="00F34AB5">
        <w:rPr>
          <w:spacing w:val="-2"/>
        </w:rPr>
        <w:t xml:space="preserve"> </w:t>
      </w:r>
      <w:r w:rsidRPr="00F34AB5">
        <w:rPr>
          <w:spacing w:val="-2"/>
        </w:rPr>
        <w:t xml:space="preserve">Sfântul </w:t>
      </w:r>
      <w:r w:rsidRPr="00F34AB5">
        <w:rPr>
          <w:spacing w:val="-2"/>
        </w:rPr>
        <w:t>Diadoh face aluzie la concepţia „înţelepţilor elinilor“ despre nepătimire în KG 74 (132, 24, 133, 8-11): ca cei ce „</w:t>
      </w:r>
      <w:r w:rsidRPr="00F34AB5">
        <w:rPr>
          <w:bCs/>
          <w:spacing w:val="-2"/>
        </w:rPr>
        <w:t>nu aveau cum trebuie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ceea ce credeau că au dobândit prin înfrânare”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spacing w:val="-2"/>
        </w:rPr>
        <w:t xml:space="preserve">În filosofia stoică greacă şi romană, </w:t>
      </w:r>
      <w:r w:rsidRPr="00F34AB5">
        <w:rPr>
          <w:i/>
          <w:iCs/>
          <w:spacing w:val="-2"/>
        </w:rPr>
        <w:t>apatheia</w:t>
      </w:r>
      <w:r w:rsidRPr="00F34AB5">
        <w:rPr>
          <w:spacing w:val="-2"/>
        </w:rPr>
        <w:t xml:space="preserve"> desemna comportamentul general al adevăratului om înţelept stoic, netulburat de nici o patimă şi grijă a vieţii. Nepătimire era pentru stoici cu neputinţă fără asceză: „Începe cu mici lucruri: renunţă la untdelemn! Varsă jos vinul! Spune-ţi ţie însuţi: Acesta este preţul pentru a dobândi </w:t>
      </w:r>
      <w:r w:rsidRPr="00F34AB5">
        <w:rPr>
          <w:i/>
          <w:spacing w:val="-2"/>
        </w:rPr>
        <w:t>apatheia</w:t>
      </w:r>
      <w:r w:rsidRPr="00F34AB5">
        <w:rPr>
          <w:spacing w:val="-2"/>
        </w:rPr>
        <w:t xml:space="preserve">, la acest preţ </w:t>
      </w:r>
      <w:r w:rsidRPr="00F34AB5">
        <w:rPr>
          <w:i/>
          <w:spacing w:val="-2"/>
        </w:rPr>
        <w:t>ataraxia</w:t>
      </w:r>
      <w:r w:rsidRPr="00F34AB5">
        <w:rPr>
          <w:spacing w:val="-2"/>
        </w:rPr>
        <w:t>”. Epictet</w:t>
      </w:r>
      <w:r w:rsidRPr="00F34AB5">
        <w:rPr>
          <w:i/>
          <w:spacing w:val="-2"/>
        </w:rPr>
        <w:t xml:space="preserve"> Manual</w:t>
      </w:r>
      <w:r w:rsidRPr="00F34AB5">
        <w:rPr>
          <w:spacing w:val="-2"/>
        </w:rPr>
        <w:t xml:space="preserve"> 12, 2, apud E Brehier, </w:t>
      </w:r>
      <w:r w:rsidRPr="00F34AB5">
        <w:rPr>
          <w:i/>
          <w:spacing w:val="-2"/>
        </w:rPr>
        <w:t>Les idees philosophiques et religieuses de Philon d’Alexandrie</w:t>
      </w:r>
      <w:r w:rsidRPr="00F34AB5">
        <w:rPr>
          <w:spacing w:val="-2"/>
        </w:rPr>
        <w:t xml:space="preserve"> . Paris, 1908, p, 254. Plotin, în secolul al treilea d. Hr, pune apatheia în relaţie cu asemănarea cu Dumnezeu la care se ajunge când sufletul lucrează în totală conformitate cu nous-ul. </w:t>
      </w:r>
      <w:r w:rsidRPr="00F34AB5">
        <w:rPr>
          <w:i/>
          <w:spacing w:val="-2"/>
        </w:rPr>
        <w:t>Enneadae</w:t>
      </w:r>
      <w:r w:rsidRPr="00F34AB5">
        <w:rPr>
          <w:spacing w:val="-2"/>
        </w:rPr>
        <w:t xml:space="preserve"> I, 2, 3, apud. R. Arnou, </w:t>
      </w:r>
      <w:r w:rsidRPr="00F34AB5">
        <w:rPr>
          <w:i/>
          <w:spacing w:val="-2"/>
        </w:rPr>
        <w:t>Le desir de Dieu dans la philosophie du Plotin</w:t>
      </w:r>
      <w:r w:rsidRPr="00F34AB5">
        <w:rPr>
          <w:spacing w:val="-2"/>
        </w:rPr>
        <w:t>, Paris, 1921, p. 200. Pentru aceasta omul trebuie să renunţe nu doar “la toate sentimentele violente, ură, dorinţe ruşinoase, plăcerile dragostei trupeşti, teamă, etc., ci trebuie să nu se ataşeze chiar şi la ceea ce este frumos.”</w:t>
      </w:r>
      <w:r w:rsidRPr="00F34AB5">
        <w:rPr>
          <w:i/>
          <w:spacing w:val="-2"/>
        </w:rPr>
        <w:t xml:space="preserve"> Enneadae</w:t>
      </w:r>
      <w:r w:rsidRPr="00F34AB5">
        <w:rPr>
          <w:spacing w:val="-2"/>
        </w:rPr>
        <w:t xml:space="preserve"> I, 2, 5, apud </w:t>
      </w:r>
      <w:r w:rsidRPr="00F34AB5">
        <w:rPr>
          <w:i/>
          <w:iCs/>
          <w:spacing w:val="-2"/>
        </w:rPr>
        <w:t>Ibidem</w:t>
      </w:r>
      <w:r w:rsidRPr="00F34AB5">
        <w:rPr>
          <w:spacing w:val="-2"/>
        </w:rPr>
        <w:t xml:space="preserve">. Pentru stoici, </w:t>
      </w:r>
      <w:r w:rsidRPr="00F34AB5">
        <w:rPr>
          <w:i/>
          <w:iCs/>
          <w:spacing w:val="-2"/>
        </w:rPr>
        <w:t>apatheia</w:t>
      </w:r>
      <w:r w:rsidRPr="00F34AB5">
        <w:rPr>
          <w:spacing w:val="-2"/>
        </w:rPr>
        <w:t xml:space="preserve"> nu reprezenta o insensibilitate inumană, ci “o stare în care înţeleptul a biruit eliberându-se de influenţele exterioare, ajungând capabil să le domine.” L. Bouyer , </w:t>
      </w:r>
      <w:r w:rsidRPr="00F34AB5">
        <w:rPr>
          <w:i/>
          <w:spacing w:val="-2"/>
        </w:rPr>
        <w:t>The spirituality of the New Testament and the Fathers,</w:t>
      </w:r>
      <w:r w:rsidRPr="00F34AB5">
        <w:rPr>
          <w:spacing w:val="-2"/>
        </w:rPr>
        <w:t xml:space="preserve"> vol. I, London, p. 273. O concepţie similară găsim la Theodoret al Cyrului, P.G. 83, 952 B. care îl urmează pe Aristotel. Pentru acesta, patimile sunt impulsuri neutre din punct de vedere moral, nici bune, nici rele în ele însele, ci devenind astfel în conformitate cu folosirea lor de către om. De aceea, pentru Aristotel, patimile // pasiunile sunt o parte necesară şi folositoare a naturii umane şi </w:t>
      </w:r>
      <w:r w:rsidRPr="00F34AB5">
        <w:rPr>
          <w:i/>
          <w:iCs/>
          <w:spacing w:val="-2"/>
        </w:rPr>
        <w:t>apatheia</w:t>
      </w:r>
      <w:r w:rsidRPr="00F34AB5">
        <w:rPr>
          <w:spacing w:val="-2"/>
        </w:rPr>
        <w:t xml:space="preserve"> era înţeleasă ca o redirecţionare a patimilor, iar nu ca o eliminare totală a lor.  K. Ware, </w:t>
      </w:r>
      <w:r w:rsidRPr="00F34AB5">
        <w:rPr>
          <w:i/>
          <w:spacing w:val="-2"/>
        </w:rPr>
        <w:t>Apatheia</w:t>
      </w:r>
      <w:r w:rsidRPr="00F34AB5">
        <w:rPr>
          <w:spacing w:val="-2"/>
        </w:rPr>
        <w:t xml:space="preserve">, art. in </w:t>
      </w:r>
      <w:r w:rsidRPr="00F34AB5">
        <w:rPr>
          <w:i/>
          <w:spacing w:val="-2"/>
        </w:rPr>
        <w:t>A Dictionary of christian spirituality</w:t>
      </w:r>
      <w:r w:rsidRPr="00F34AB5">
        <w:rPr>
          <w:spacing w:val="-2"/>
        </w:rPr>
        <w:t xml:space="preserve">, p. 19, by Cordon S. Wakefield; </w:t>
      </w:r>
    </w:p>
  </w:footnote>
  <w:footnote w:id="74">
    <w:p w:rsidR="004E1738" w:rsidRPr="00F34AB5" w:rsidRDefault="004E1738" w:rsidP="004E1738">
      <w:pPr>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Fericitul </w:t>
      </w:r>
      <w:r w:rsidRPr="00F34AB5">
        <w:rPr>
          <w:spacing w:val="-2"/>
        </w:rPr>
        <w:t>Ieronim a fost cel ce în trei lucrări succesive (Scrisoarea</w:t>
      </w:r>
      <w:r w:rsidRPr="00F34AB5">
        <w:rPr>
          <w:i/>
          <w:spacing w:val="-2"/>
        </w:rPr>
        <w:t xml:space="preserve"> 133</w:t>
      </w:r>
      <w:r w:rsidRPr="00F34AB5">
        <w:rPr>
          <w:spacing w:val="-2"/>
        </w:rPr>
        <w:t xml:space="preserve"> CSEL 56, Viena 1918, p.246; </w:t>
      </w:r>
      <w:r w:rsidRPr="00F34AB5">
        <w:rPr>
          <w:i/>
          <w:iCs/>
          <w:spacing w:val="-2"/>
        </w:rPr>
        <w:t>Di</w:t>
      </w:r>
      <w:r w:rsidRPr="00F34AB5">
        <w:rPr>
          <w:i/>
          <w:spacing w:val="-2"/>
        </w:rPr>
        <w:t>alog împotriva pelagienilor</w:t>
      </w:r>
      <w:r w:rsidRPr="00F34AB5">
        <w:rPr>
          <w:spacing w:val="-2"/>
        </w:rPr>
        <w:t xml:space="preserve"> PL 23, 518 şi </w:t>
      </w:r>
      <w:r w:rsidRPr="00F34AB5">
        <w:rPr>
          <w:i/>
          <w:spacing w:val="-2"/>
        </w:rPr>
        <w:t>Comentariu la Ieremia</w:t>
      </w:r>
      <w:r w:rsidRPr="00F34AB5">
        <w:rPr>
          <w:spacing w:val="-2"/>
        </w:rPr>
        <w:t xml:space="preserve"> CSEL 59, Viena 1913, p. 221) i-a acuzat pe pelagieni pentru înţelegerea lor greşită despre apatheia asociindu-l acestora şi pe Evagrie. </w:t>
      </w:r>
    </w:p>
  </w:footnote>
  <w:footnote w:id="75">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93 (154, 15, 19-21):</w:t>
      </w:r>
      <w:r w:rsidRPr="00F34AB5">
        <w:rPr>
          <w:rFonts w:ascii="WP Greek Century" w:hAnsi="WP Greek Century"/>
          <w:b/>
          <w:spacing w:val="-2"/>
          <w:sz w:val="24"/>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76">
    <w:p w:rsidR="004E1738" w:rsidRPr="00F34AB5" w:rsidRDefault="004E1738" w:rsidP="004E1738">
      <w:pPr>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72 (131, 12-17):</w:t>
      </w:r>
      <w:r w:rsidRPr="00F34AB5">
        <w:rPr>
          <w:rFonts w:ascii="WP Greek Century" w:hAnsi="WP Greek Century"/>
          <w:b/>
          <w:spacing w:val="-2"/>
          <w:sz w:val="24"/>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alte manuscrise: MSTa: </w:t>
      </w:r>
      <w:r w:rsidRPr="00F34AB5">
        <w:rPr>
          <w:rFonts w:ascii="WP Greek Century" w:hAnsi="WP Greek Century"/>
          <w:bCs/>
          <w:spacing w:val="-2"/>
        </w:rPr>
        <w:t></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FR 1, p. 449</w:t>
      </w:r>
      <w:r w:rsidRPr="00F34AB5">
        <w:rPr>
          <w:spacing w:val="-2"/>
        </w:rPr>
        <w:t>; Identificarea a mai multe trepte de nepătimire corespunzătoare diferitelor trepte ale vieţii spirituale sunt descrise de autorii tradiţiei creştine anterioare Sfântului Diadoh:</w:t>
      </w:r>
      <w:r w:rsidRPr="00F34AB5">
        <w:rPr>
          <w:spacing w:val="-2"/>
          <w:sz w:val="24"/>
        </w:rPr>
        <w:t xml:space="preserve"> </w:t>
      </w:r>
      <w:r w:rsidRPr="00F34AB5">
        <w:rPr>
          <w:spacing w:val="-2"/>
        </w:rPr>
        <w:t>La Origen, marele teolog care a inspirat pe teologii Capadocieni şi în acelaşi timp pe fondatorul tradiţiei răsăritene ascetice şi monastice, Evagrie Ponticul, doctrina despre apatheia nu este aşa de dezvoltată, el descriind viaţa spirituală ca o sucesiune a “trei stadii pe care sufletul trebuie să le parcurgă în mod progresiv: întâi, învăţând virtutea (</w:t>
      </w:r>
      <w:r w:rsidRPr="00F34AB5">
        <w:rPr>
          <w:i/>
          <w:spacing w:val="-2"/>
        </w:rPr>
        <w:t>ethike</w:t>
      </w:r>
      <w:r w:rsidRPr="00F34AB5">
        <w:rPr>
          <w:spacing w:val="-2"/>
        </w:rPr>
        <w:t>), apoi, adoptând-o (</w:t>
      </w:r>
      <w:r w:rsidRPr="00F34AB5">
        <w:rPr>
          <w:i/>
          <w:iCs/>
          <w:spacing w:val="-2"/>
        </w:rPr>
        <w:t>praktike</w:t>
      </w:r>
      <w:r w:rsidRPr="00F34AB5">
        <w:rPr>
          <w:spacing w:val="-2"/>
        </w:rPr>
        <w:t>) apoi înălţându-se la contemplarea lui Dumnezeu (</w:t>
      </w:r>
      <w:r w:rsidRPr="00F34AB5">
        <w:rPr>
          <w:i/>
          <w:spacing w:val="-2"/>
        </w:rPr>
        <w:t>enoptike</w:t>
      </w:r>
      <w:r w:rsidRPr="00F34AB5">
        <w:rPr>
          <w:spacing w:val="-2"/>
        </w:rPr>
        <w:t>)”. Apatheia într-un anume fel începe cu al doilea stadiu (dreaptă atitudine faţă de lucrurile naturale (</w:t>
      </w:r>
      <w:r w:rsidRPr="00F34AB5">
        <w:rPr>
          <w:i/>
          <w:spacing w:val="-2"/>
        </w:rPr>
        <w:t>praktike</w:t>
      </w:r>
      <w:r w:rsidRPr="00F34AB5">
        <w:rPr>
          <w:spacing w:val="-2"/>
        </w:rPr>
        <w:t xml:space="preserve">) şi este numită la Origen mortificare a trupului care este obţinută în mod treptat prin “pierderea violenţei patimilor la începătorii vieţii creştine, şi prin epuizarea lor la cei avansaţi care cred cu fervoare şi primesc mult mai abundent Duhul Sfânt. La cei perfecţi, patimile sunt în mod complet stinse fiind ei înşişi fără oricare semn de păcat în faptele, cuvintele sau gândurile lor”; </w:t>
      </w:r>
      <w:r w:rsidRPr="00F34AB5">
        <w:rPr>
          <w:i/>
          <w:spacing w:val="-2"/>
        </w:rPr>
        <w:t>In Epist. Ad Rom</w:t>
      </w:r>
      <w:r w:rsidRPr="00F34AB5">
        <w:rPr>
          <w:spacing w:val="-2"/>
        </w:rPr>
        <w:t>., 6, 14, PG, 14, 1102, apud D. Sp. tom I, col. 732. Trupul lor este complet indiferent la apelul patimilor (</w:t>
      </w:r>
      <w:r w:rsidRPr="00F34AB5">
        <w:rPr>
          <w:i/>
          <w:spacing w:val="-2"/>
        </w:rPr>
        <w:t>In Ephesians</w:t>
      </w:r>
      <w:r w:rsidRPr="00F34AB5">
        <w:rPr>
          <w:spacing w:val="-2"/>
        </w:rPr>
        <w:t xml:space="preserve">, P.G. 14, 1298B, apud </w:t>
      </w:r>
      <w:r w:rsidRPr="00F34AB5">
        <w:rPr>
          <w:i/>
          <w:iCs/>
          <w:spacing w:val="-2"/>
        </w:rPr>
        <w:t>Ibidem</w:t>
      </w:r>
      <w:r w:rsidRPr="00F34AB5">
        <w:rPr>
          <w:spacing w:val="-2"/>
        </w:rPr>
        <w:t xml:space="preserve">) pentru că au distrus în ei înşişi dorinţele trupului şi au devenit asemenea copiilor, străini pentru patimile iubirii trupeşti. </w:t>
      </w:r>
      <w:r w:rsidRPr="00F34AB5">
        <w:rPr>
          <w:i/>
          <w:spacing w:val="-2"/>
        </w:rPr>
        <w:t>In Matth. Comment</w:t>
      </w:r>
      <w:r w:rsidRPr="00F34AB5">
        <w:rPr>
          <w:spacing w:val="-2"/>
        </w:rPr>
        <w:t>. XIII, 16, PG, 13, 1134, apud</w:t>
      </w:r>
      <w:r w:rsidRPr="00F34AB5">
        <w:rPr>
          <w:i/>
          <w:iCs/>
          <w:spacing w:val="-2"/>
        </w:rPr>
        <w:t xml:space="preserve"> Ibidem</w:t>
      </w:r>
      <w:r w:rsidRPr="00F34AB5">
        <w:rPr>
          <w:spacing w:val="-2"/>
        </w:rPr>
        <w:t xml:space="preserve">. Principalul scop al spiritualităţii evagriene este a învăţa monahul cum să obţină în sufletul său apatheia. Apatheia este pentru Evagrie scopul primului stadiu al vieţii spirituale numită la el nu </w:t>
      </w:r>
      <w:r w:rsidRPr="00F34AB5">
        <w:rPr>
          <w:i/>
          <w:spacing w:val="-2"/>
        </w:rPr>
        <w:t>ethike</w:t>
      </w:r>
      <w:r w:rsidRPr="00F34AB5">
        <w:rPr>
          <w:spacing w:val="-2"/>
        </w:rPr>
        <w:t xml:space="preserve"> ca la Origen, ci </w:t>
      </w:r>
      <w:r w:rsidRPr="00F34AB5">
        <w:rPr>
          <w:i/>
          <w:spacing w:val="-2"/>
        </w:rPr>
        <w:t>praktike</w:t>
      </w:r>
      <w:r w:rsidRPr="00F34AB5">
        <w:rPr>
          <w:spacing w:val="-2"/>
        </w:rPr>
        <w:t xml:space="preserve">. În </w:t>
      </w:r>
      <w:r w:rsidRPr="00F34AB5">
        <w:rPr>
          <w:i/>
          <w:spacing w:val="-2"/>
        </w:rPr>
        <w:t>Praktikos</w:t>
      </w:r>
      <w:r w:rsidRPr="00F34AB5">
        <w:rPr>
          <w:spacing w:val="-2"/>
        </w:rPr>
        <w:t xml:space="preserve"> Evagrie arată că fără acest orizont asceza şi exerciţiile devoţionale ar fi numai o distrugere de sine a trupului. Eforturile ascetice ale monahului sunt pentru că el tinde prin acestea să ajungă o stare de liniştire, de netulburare a sufletului. “Apatheia dă naştere iubirii, iubirea este uşa cunoaşterii naturale care conduce la teologie şi fericirea completă finală.” (cele trei trepte la Evagrie: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lang w:val="fr-FR"/>
        </w:rPr>
        <w:t xml:space="preserve">,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lang w:val="fr-FR"/>
        </w:rPr>
        <w:t xml:space="preserve">, </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rFonts w:ascii="WP Greek Century" w:hAnsi="WP Greek Century"/>
          <w:spacing w:val="-2"/>
          <w:lang w:val="el-GR"/>
        </w:rPr>
        <w:t></w:t>
      </w:r>
      <w:r w:rsidRPr="00F34AB5">
        <w:rPr>
          <w:spacing w:val="-2"/>
        </w:rPr>
        <w:t xml:space="preserve">) A Guillaumont - </w:t>
      </w:r>
      <w:r w:rsidRPr="00F34AB5">
        <w:rPr>
          <w:i/>
          <w:spacing w:val="-2"/>
        </w:rPr>
        <w:t>Trait</w:t>
      </w:r>
      <w:r w:rsidRPr="00F34AB5">
        <w:rPr>
          <w:rFonts w:hint="cs"/>
          <w:i/>
          <w:spacing w:val="-2"/>
        </w:rPr>
        <w:t>é</w:t>
      </w:r>
      <w:r w:rsidRPr="00F34AB5">
        <w:rPr>
          <w:i/>
          <w:spacing w:val="-2"/>
        </w:rPr>
        <w:t xml:space="preserve"> Pratique ou le Moine; </w:t>
      </w:r>
      <w:r w:rsidRPr="00F34AB5">
        <w:rPr>
          <w:rFonts w:hint="cs"/>
          <w:i/>
          <w:spacing w:val="-2"/>
        </w:rPr>
        <w:t>É</w:t>
      </w:r>
      <w:r w:rsidRPr="00F34AB5">
        <w:rPr>
          <w:i/>
          <w:spacing w:val="-2"/>
        </w:rPr>
        <w:t>vagre le Pontique, introduction par Antoine et Claire Guillaumont</w:t>
      </w:r>
      <w:r w:rsidRPr="00F34AB5">
        <w:rPr>
          <w:spacing w:val="-2"/>
        </w:rPr>
        <w:t xml:space="preserve">, SC 171, vol. II, Paris, Edition du Cerf, 1971, cap. 81, p. 492; cf. şi </w:t>
      </w:r>
      <w:r w:rsidRPr="00F34AB5">
        <w:rPr>
          <w:i/>
          <w:iCs/>
          <w:spacing w:val="-2"/>
        </w:rPr>
        <w:t>ed. rom. cit</w:t>
      </w:r>
      <w:r w:rsidRPr="00F34AB5">
        <w:rPr>
          <w:spacing w:val="-2"/>
        </w:rPr>
        <w:t>. p. 106.</w:t>
      </w:r>
    </w:p>
  </w:footnote>
  <w:footnote w:id="77">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98 (160, 9, 17-19).</w:t>
      </w:r>
    </w:p>
  </w:footnote>
  <w:footnote w:id="7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82 (141, 5-12), cf. </w:t>
      </w:r>
      <w:r w:rsidRPr="00F34AB5">
        <w:rPr>
          <w:bCs/>
          <w:spacing w:val="-2"/>
        </w:rPr>
        <w:t>Efeseni 6, 14-17.</w:t>
      </w:r>
    </w:p>
  </w:footnote>
  <w:footnote w:id="79">
    <w:p w:rsidR="004E1738" w:rsidRPr="00F34AB5" w:rsidRDefault="004E1738" w:rsidP="004E1738">
      <w:pPr>
        <w:pStyle w:val="BodyTextIndent"/>
        <w:ind w:firstLine="0"/>
        <w:rPr>
          <w:b w:val="0"/>
          <w:bCs w:val="0"/>
          <w:spacing w:val="-2"/>
          <w:sz w:val="20"/>
          <w:szCs w:val="20"/>
        </w:rPr>
      </w:pPr>
      <w:r w:rsidRPr="00F34AB5">
        <w:rPr>
          <w:rStyle w:val="FootnoteReference"/>
          <w:b w:val="0"/>
          <w:bCs w:val="0"/>
          <w:spacing w:val="-2"/>
          <w:sz w:val="20"/>
          <w:szCs w:val="20"/>
        </w:rPr>
        <w:footnoteRef/>
      </w:r>
      <w:r w:rsidRPr="00F34AB5">
        <w:rPr>
          <w:b w:val="0"/>
          <w:bCs w:val="0"/>
          <w:spacing w:val="-2"/>
          <w:sz w:val="20"/>
          <w:szCs w:val="20"/>
        </w:rPr>
        <w:t xml:space="preserve"> </w:t>
      </w:r>
      <w:r w:rsidRPr="00F34AB5">
        <w:rPr>
          <w:b w:val="0"/>
          <w:bCs w:val="0"/>
          <w:spacing w:val="-2"/>
          <w:sz w:val="20"/>
          <w:szCs w:val="20"/>
        </w:rPr>
        <w:t xml:space="preserve">cf. </w:t>
      </w:r>
      <w:r w:rsidRPr="00F34AB5">
        <w:rPr>
          <w:b w:val="0"/>
          <w:bCs w:val="0"/>
          <w:spacing w:val="-2"/>
          <w:sz w:val="20"/>
          <w:szCs w:val="20"/>
        </w:rPr>
        <w:t xml:space="preserve">KG 85 (145, 1-2). Cf. Evagrie Ponticul, </w:t>
      </w:r>
      <w:r w:rsidRPr="00F34AB5">
        <w:rPr>
          <w:b w:val="0"/>
          <w:bCs w:val="0"/>
          <w:i/>
          <w:iCs/>
          <w:spacing w:val="-2"/>
          <w:sz w:val="20"/>
          <w:szCs w:val="20"/>
        </w:rPr>
        <w:t>Capete despre deosebirea gândurilor şi a patimilor</w:t>
      </w:r>
      <w:r w:rsidRPr="00F34AB5">
        <w:rPr>
          <w:b w:val="0"/>
          <w:bCs w:val="0"/>
          <w:spacing w:val="-2"/>
          <w:sz w:val="20"/>
          <w:szCs w:val="20"/>
        </w:rPr>
        <w:t>, cap. 22: „Toate gândurile necurate, stăruind în noi din pricina patimilor, duc mintea la stricăciune şi pieire. Căci de aceste gânduri fiind trasă în jos mintea aceea ticăloasă din Evanghelie, s-a lepădat de bunul cel mai mare al cunoştinţei de Dumnezeu. Asemenea şi cel legat de mâini şi de picioare şi aruncat întru întunericul cel mai din afară, din aceste gânduri îşi avea ţesută haina sa, pentru care motiv Cel ce l-a chemat la nuntă, l-a găsit nevrednic de o nuntă ca aceea. Haina de nuntă este nepătimirea sufletului raţional, care s-a lepădat de poftele lumeşti”. FR I p. 93.</w:t>
      </w:r>
    </w:p>
  </w:footnote>
  <w:footnote w:id="8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Cf. </w:t>
      </w:r>
      <w:r w:rsidRPr="00F34AB5">
        <w:rPr>
          <w:spacing w:val="-2"/>
        </w:rPr>
        <w:t xml:space="preserve">Evagrie Ponticul, </w:t>
      </w:r>
      <w:r w:rsidRPr="00F34AB5">
        <w:rPr>
          <w:i/>
          <w:iCs/>
          <w:spacing w:val="-2"/>
        </w:rPr>
        <w:t>Capete despre deosebirea patimilor şi a gândurilor</w:t>
      </w:r>
      <w:r w:rsidRPr="00F34AB5">
        <w:rPr>
          <w:spacing w:val="-2"/>
        </w:rPr>
        <w:t>, 4: FR I p. 76</w:t>
      </w:r>
    </w:p>
  </w:footnote>
  <w:footnote w:id="81">
    <w:p w:rsidR="004E1738" w:rsidRPr="00F34AB5" w:rsidRDefault="004E1738" w:rsidP="004E1738">
      <w:pPr>
        <w:pStyle w:val="BodyTextIndent"/>
        <w:ind w:firstLine="0"/>
        <w:rPr>
          <w:b w:val="0"/>
          <w:bCs w:val="0"/>
          <w:spacing w:val="-2"/>
          <w:sz w:val="20"/>
          <w:szCs w:val="20"/>
        </w:rPr>
      </w:pPr>
      <w:r w:rsidRPr="00F34AB5">
        <w:rPr>
          <w:rStyle w:val="FootnoteReference"/>
          <w:b w:val="0"/>
          <w:bCs w:val="0"/>
          <w:spacing w:val="-2"/>
          <w:sz w:val="20"/>
          <w:szCs w:val="20"/>
        </w:rPr>
        <w:footnoteRef/>
      </w:r>
      <w:r w:rsidRPr="00F34AB5">
        <w:rPr>
          <w:spacing w:val="-2"/>
        </w:rPr>
        <w:t xml:space="preserve"> </w:t>
      </w:r>
      <w:r w:rsidRPr="00F34AB5">
        <w:rPr>
          <w:b w:val="0"/>
          <w:bCs w:val="0"/>
          <w:spacing w:val="-2"/>
          <w:sz w:val="20"/>
          <w:szCs w:val="20"/>
        </w:rPr>
        <w:t xml:space="preserve">KG </w:t>
      </w:r>
      <w:r w:rsidRPr="00F34AB5">
        <w:rPr>
          <w:b w:val="0"/>
          <w:bCs w:val="0"/>
          <w:spacing w:val="-2"/>
          <w:sz w:val="20"/>
          <w:szCs w:val="20"/>
        </w:rPr>
        <w:t xml:space="preserve">57 (117, 25 – 118, 3). Starea de nepătimire e asemănată cu o cetate întărită a virtuţilor, de asemenea, la Isaia Pustnicul, </w:t>
      </w:r>
      <w:r w:rsidRPr="00F34AB5">
        <w:rPr>
          <w:b w:val="0"/>
          <w:bCs w:val="0"/>
          <w:i/>
          <w:spacing w:val="-2"/>
          <w:sz w:val="20"/>
          <w:szCs w:val="20"/>
        </w:rPr>
        <w:t>29 de cuvinte</w:t>
      </w:r>
      <w:r w:rsidRPr="00F34AB5">
        <w:rPr>
          <w:b w:val="0"/>
          <w:bCs w:val="0"/>
          <w:spacing w:val="-2"/>
          <w:sz w:val="20"/>
          <w:szCs w:val="20"/>
        </w:rPr>
        <w:t xml:space="preserve">, cuv. IV, 7: „…Dar de se va înălţa inima ta pentru că i-ai alungat [pe vrăjmaşi] şi vei părăsi cetatea, unii se vor ridica de la spate, iar alţii din faţă şi bietul suflet se va pomeni împresurat de ei, neavând unde să scape. Cetatea stă deci când se aruncă cineva pe sine înaintea lui Dumnezeu cu toată inima…” şi IV, 12: „…şi acoperământul lui Dumnezeu li s-a făcut spre cetate care-i înconjoară.” Imaginea „cetăţii sau casei sufletului virtuos” având „cămări mai dinlăuntru şi casa lui Hristos” e întâlnită adesea şi la  Marcu Ascetul în </w:t>
      </w:r>
      <w:r w:rsidRPr="00F34AB5">
        <w:rPr>
          <w:b w:val="0"/>
          <w:bCs w:val="0"/>
          <w:i/>
          <w:iCs/>
          <w:spacing w:val="-2"/>
          <w:sz w:val="20"/>
          <w:szCs w:val="20"/>
        </w:rPr>
        <w:t>Răspuns acelora care se îndoiesc despre Dumnezeiescul Botez</w:t>
      </w:r>
      <w:r w:rsidRPr="00F34AB5">
        <w:rPr>
          <w:b w:val="0"/>
          <w:bCs w:val="0"/>
          <w:spacing w:val="-2"/>
          <w:sz w:val="20"/>
          <w:szCs w:val="20"/>
        </w:rPr>
        <w:t xml:space="preserve"> , FR 1, p. 373; </w:t>
      </w:r>
      <w:r w:rsidRPr="00F34AB5">
        <w:rPr>
          <w:b w:val="0"/>
          <w:bCs w:val="0"/>
          <w:i/>
          <w:iCs/>
          <w:spacing w:val="-2"/>
          <w:sz w:val="20"/>
          <w:szCs w:val="20"/>
        </w:rPr>
        <w:t>Ibidem</w:t>
      </w:r>
      <w:r w:rsidRPr="00F34AB5">
        <w:rPr>
          <w:b w:val="0"/>
          <w:bCs w:val="0"/>
          <w:spacing w:val="-2"/>
          <w:sz w:val="20"/>
          <w:szCs w:val="20"/>
        </w:rPr>
        <w:t xml:space="preserve"> p. 353: Iar dacă nu am ajuns încă la cetate, când vom vedea templu şi când vom intra în el; </w:t>
      </w:r>
      <w:r w:rsidRPr="00F34AB5">
        <w:rPr>
          <w:b w:val="0"/>
          <w:bCs w:val="0"/>
          <w:i/>
          <w:iCs/>
          <w:spacing w:val="-2"/>
          <w:sz w:val="20"/>
          <w:szCs w:val="20"/>
        </w:rPr>
        <w:t>Ibidem</w:t>
      </w:r>
      <w:r w:rsidRPr="00F34AB5">
        <w:rPr>
          <w:b w:val="0"/>
          <w:bCs w:val="0"/>
          <w:spacing w:val="-2"/>
          <w:sz w:val="20"/>
          <w:szCs w:val="20"/>
        </w:rPr>
        <w:t xml:space="preserve"> p. 354: „Cetatea este dreapta socoteală întru Hristos, care e plină de lumină. Când aceasta chiverniseşte cu evlavie şi după lege lucrurile, vieţuieşte în pace şi dreptate. Dar când greşeşte, se predă duşmanilor pre dărâmare. Iar templul este locaşul sfânt al sufletului şi al trupului, care e zidit de Dumnezeu. În sfârşit altarul este masa nădejdii aşezată în templu. Pe ea se aduce de către minte şi se jertfeşte gândul întâi născut al fiecărei întâmplări, ca un animal întâi născut adus ca jertfă de ispăşire pentru cel ce-l aduce, dacă îl aduce neîtinat. Dar şi acest templu are un loc în partea dinăuntru a catapetesmei. Acolo a intrat Iisus pentru noi ca Înaintemergător, locuind de la Botez în noi, „afară numai dacă nu suntem creştini netrebnici. II Cor. 13, 5. Acest loc este încăperea cea mai dinăuntru, mai ascunsă şi mai sinceră a inimii, încăpere care dacă nu se deschide, prin Dumnezeu şi prin nădejdea raţională şi înţelegătoare, nu putem cunoaşte în chip sigur pe Cel ce locuieşte în ea şi nu putem şti de au fost primite jertfele de gânduri, sau nu”; </w:t>
      </w:r>
      <w:r w:rsidRPr="00F34AB5">
        <w:rPr>
          <w:b w:val="0"/>
          <w:bCs w:val="0"/>
          <w:i/>
          <w:iCs/>
          <w:spacing w:val="-2"/>
          <w:sz w:val="20"/>
          <w:szCs w:val="20"/>
        </w:rPr>
        <w:t>Epistola către Nicolae, cap. 8</w:t>
      </w:r>
      <w:r w:rsidRPr="00F34AB5">
        <w:rPr>
          <w:b w:val="0"/>
          <w:bCs w:val="0"/>
          <w:spacing w:val="-2"/>
          <w:sz w:val="20"/>
          <w:szCs w:val="20"/>
        </w:rPr>
        <w:t xml:space="preserve"> imaginea „casei diavolului”, a „clădirii răutăţii” zidită în sufletul omului din „feluritele pricini întemeiate şi neîntemeiate”, ca şi pietre zidite pe temelia mândriei care îi e „sprijin şi întărire” acestei case. FR 1, pp. 395-396. </w:t>
      </w:r>
    </w:p>
  </w:footnote>
  <w:footnote w:id="82">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35 (105, 2-4):</w:t>
      </w:r>
      <w:r w:rsidRPr="00F34AB5">
        <w:rPr>
          <w:rFonts w:ascii="WP Greek Century" w:hAnsi="WP Greek Century"/>
          <w:bCs/>
          <w:snapToGrid w:val="0"/>
          <w:spacing w:val="-2"/>
          <w:sz w:val="24"/>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bCs/>
          <w:snapToGrid w:val="0"/>
          <w:spacing w:val="-2"/>
        </w:rPr>
        <w:t xml:space="preserve"> </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bCs/>
          <w:snapToGrid w:val="0"/>
          <w:spacing w:val="-2"/>
        </w:rPr>
        <w:t xml:space="preserve"> </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rFonts w:ascii="WP Greek Century" w:hAnsi="WP Greek Century"/>
          <w:bCs/>
          <w:snapToGrid w:val="0"/>
          <w:spacing w:val="-2"/>
        </w:rPr>
        <w:t></w:t>
      </w:r>
      <w:r w:rsidRPr="00F34AB5">
        <w:rPr>
          <w:bCs/>
          <w:snapToGrid w:val="0"/>
          <w:spacing w:val="-2"/>
        </w:rPr>
        <w:t>.</w:t>
      </w:r>
    </w:p>
  </w:footnote>
  <w:footnote w:id="83">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Cf. KG 39, 80, 82-86, îndeosebi 84, ca dezvoltări şi explicări ale imaginilor biblice ale modului coexistenţei luminii şi întunericului în suflet (</w:t>
      </w:r>
      <w:r w:rsidRPr="00F34AB5">
        <w:rPr>
          <w:snapToGrid w:val="0"/>
          <w:spacing w:val="-2"/>
        </w:rPr>
        <w:t>In. 1, 5); a prezenţei diavolului în casa sufletului alături de Hristos „cel tare” (Mt. 12, 29); a modului izvorârii gândurilor rele din inimă (Mt.15, 19).</w:t>
      </w:r>
      <w:r w:rsidRPr="00F34AB5">
        <w:rPr>
          <w:b/>
          <w:snapToGrid w:val="0"/>
          <w:spacing w:val="-2"/>
          <w:sz w:val="24"/>
        </w:rPr>
        <w:t xml:space="preserve"> </w:t>
      </w:r>
      <w:r w:rsidRPr="00F34AB5">
        <w:rPr>
          <w:spacing w:val="-2"/>
        </w:rPr>
        <w:t xml:space="preserve">Pseudo-Macarie, </w:t>
      </w:r>
      <w:r w:rsidRPr="00F34AB5">
        <w:rPr>
          <w:i/>
          <w:iCs/>
          <w:spacing w:val="-2"/>
        </w:rPr>
        <w:t>Omilia</w:t>
      </w:r>
      <w:r w:rsidRPr="00F34AB5">
        <w:rPr>
          <w:spacing w:val="-2"/>
        </w:rPr>
        <w:t xml:space="preserve"> 16, 2-3: „...Iar dacă soarele... trimiţându-şi razele peste locuri rău mirositoare... întru nimic nu se vatămă, nici nu se întinează, cu atât mai puţin Duhul... intrând în sufletul aflat încă sub imperiul celui rău, nu împrumută nimic de la acesta. Pentru că: „lumina luminează în întuneric şi întunericul nu a cuprins-o” (In 1, 5); PSB 34, pp. 172-173; Omilia 16, 6, „...harul lui Dumnezeu, fiind în suflet împreună cu păcatul, cu nimic nu se vatămă de acesta”; PSB 34, p. 174; Omilia 42, PSB 34, p. 256: cuprinzând ambele imagini despre nepătimire întâlnite şi la Sfântul Diadoh, a „cetăţii” şi a „îmbrăcării” sufletului în Hristos (Efes. 4, 24), unde se afirmă: „într-adevăr, ceea ce vatămă şi întinează pe om, înlăuntrul lui se află. Pentru că zice Domnul: Din inimă ies cugete rele”. Mt. 15, 18; Asupra modului cum Sfântul Diadoh corijează nuanţele materialismului mistic din </w:t>
      </w:r>
      <w:r w:rsidRPr="00F34AB5">
        <w:rPr>
          <w:i/>
          <w:iCs/>
          <w:spacing w:val="-2"/>
        </w:rPr>
        <w:t>Omiliile pseudo-macariene</w:t>
      </w:r>
      <w:r w:rsidRPr="00F34AB5">
        <w:rPr>
          <w:spacing w:val="-2"/>
        </w:rPr>
        <w:t xml:space="preserve">, cf. E. Des Places, </w:t>
      </w:r>
      <w:r w:rsidRPr="00F34AB5">
        <w:rPr>
          <w:i/>
          <w:iCs/>
          <w:spacing w:val="-2"/>
        </w:rPr>
        <w:t>Introducere</w:t>
      </w:r>
      <w:r w:rsidRPr="00F34AB5">
        <w:rPr>
          <w:spacing w:val="-2"/>
        </w:rPr>
        <w:t xml:space="preserve"> la vol. 5 S. Ch., pp. 12-22, în special, 16-17.  </w:t>
      </w:r>
    </w:p>
  </w:footnote>
  <w:footnote w:id="8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Evagrie </w:t>
      </w:r>
      <w:r w:rsidRPr="00F34AB5">
        <w:rPr>
          <w:spacing w:val="-2"/>
        </w:rPr>
        <w:t xml:space="preserve">subliniază cauzalitatea reciprocă dintre rugăciune ca şi stare de veghe şi apatheia:  “Sufletul e creat în mod natural pentru rugăciune şi rugăciunea fortifică şi purifică mintea pentru lupta cu demonii.” Cf. </w:t>
      </w:r>
      <w:r w:rsidRPr="00F34AB5">
        <w:rPr>
          <w:i/>
          <w:iCs/>
          <w:spacing w:val="-2"/>
        </w:rPr>
        <w:t>Tratatul Practic</w:t>
      </w:r>
      <w:r w:rsidRPr="00F34AB5">
        <w:rPr>
          <w:spacing w:val="-2"/>
        </w:rPr>
        <w:t>, 49.</w:t>
      </w:r>
    </w:p>
  </w:footnote>
  <w:footnote w:id="85">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57 (118, 5-6).</w:t>
      </w:r>
    </w:p>
  </w:footnote>
  <w:footnote w:id="86">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82 (141, 5-12), cf. Ef. 6, 14-17, KG 85 (</w:t>
      </w:r>
      <w:r w:rsidRPr="00F34AB5">
        <w:rPr>
          <w:spacing w:val="-2"/>
          <w:lang w:val="en-GB"/>
        </w:rPr>
        <w:t>145, 6</w:t>
      </w:r>
      <w:r w:rsidRPr="00F34AB5">
        <w:rPr>
          <w:spacing w:val="-2"/>
        </w:rPr>
        <w:t>).</w:t>
      </w:r>
    </w:p>
  </w:footnote>
  <w:footnote w:id="87">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57 (118, 3), KG 98 (</w:t>
      </w:r>
      <w:r w:rsidRPr="00F34AB5">
        <w:rPr>
          <w:spacing w:val="-2"/>
          <w:lang w:val="en-GB"/>
        </w:rPr>
        <w:t>160, 11-20</w:t>
      </w:r>
      <w:r w:rsidRPr="00F34AB5">
        <w:rPr>
          <w:spacing w:val="-2"/>
        </w:rPr>
        <w:t>).</w:t>
      </w:r>
    </w:p>
  </w:footnote>
  <w:footnote w:id="8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1 (85, 11-12) unde, la fel ca Marcu Ascetul în </w:t>
      </w:r>
      <w:r w:rsidRPr="00F34AB5">
        <w:rPr>
          <w:i/>
          <w:iCs/>
          <w:spacing w:val="-2"/>
        </w:rPr>
        <w:t>Răspuns acelora care se îndoiesc despre Dumnezeiescul Botez</w:t>
      </w:r>
      <w:r w:rsidRPr="00F34AB5">
        <w:rPr>
          <w:spacing w:val="-2"/>
        </w:rPr>
        <w:t xml:space="preserve">, FR 1, p. 373, Sfântul Diadoh descrie starea de nepătimire în legătură cu virtuţile teologice ce „învaţă sufletul să dispreţuiască bunătăţile văzute”, legându-l, prin iubire de darurile lui Dumnezeu, „nemaiprimind nimic din lucrurile goale ale acestui veac”. </w:t>
      </w:r>
    </w:p>
  </w:footnote>
  <w:footnote w:id="89">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cf. </w:t>
      </w:r>
      <w:r w:rsidRPr="00F34AB5">
        <w:rPr>
          <w:i/>
          <w:iCs/>
          <w:spacing w:val="-2"/>
        </w:rPr>
        <w:t>Ibidem.</w:t>
      </w:r>
    </w:p>
  </w:footnote>
  <w:footnote w:id="90">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cf. KG 96 (158, 22-23), FR 1, p. 471: „Pentru că luând mai ales iubirea de slavă ca prilej pentru răutatea lor şi sărind prin ea înlăuntru, ca printr-o oarecare portiţă întunecoasă ei izbutesc să răpească sufletele....” cf. Evagrie Ponticul, </w:t>
      </w:r>
      <w:r w:rsidRPr="00F34AB5">
        <w:rPr>
          <w:i/>
          <w:iCs/>
          <w:spacing w:val="-2"/>
        </w:rPr>
        <w:t>Capete despre deosebirea patimilor şi a gândurilor</w:t>
      </w:r>
      <w:r w:rsidRPr="00F34AB5">
        <w:rPr>
          <w:spacing w:val="-2"/>
        </w:rPr>
        <w:t>, Cap. 13, FR 1, p. 85.</w:t>
      </w:r>
    </w:p>
  </w:footnote>
  <w:footnote w:id="9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95 (157, 25-26):</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FR 1, p. 470.</w:t>
      </w:r>
    </w:p>
  </w:footnote>
  <w:footnote w:id="92">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74 (133, 2-3):</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sym w:font="WP Greek Century" w:char="F0D8"/>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93">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98 (160, 9-12), cf. Evagrie Ponticul, </w:t>
      </w:r>
      <w:r w:rsidRPr="00F34AB5">
        <w:rPr>
          <w:i/>
          <w:spacing w:val="-2"/>
        </w:rPr>
        <w:t>Tratatul practic</w:t>
      </w:r>
      <w:r w:rsidRPr="00F34AB5">
        <w:rPr>
          <w:spacing w:val="-2"/>
        </w:rPr>
        <w:t xml:space="preserve">, 60, trad Cristian Bădiliţă, Ed. Polirom, Iaşi, 1997, p. 97: „Nepătimirea desăvârşită apare în suflet după biruirea tuturor demonilor care se împotrivesc practicii. Nepătimirea nedesăvârşită se spune atunci când demonul încă mai are putere să lupte împotriva sufletului”. </w:t>
      </w:r>
    </w:p>
  </w:footnote>
  <w:footnote w:id="94">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85 (145, 9-11).</w:t>
      </w:r>
    </w:p>
  </w:footnote>
  <w:footnote w:id="95">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89 (150, 2-4):</w:t>
      </w:r>
      <w:r w:rsidRPr="00F34AB5">
        <w:rPr>
          <w:rFonts w:ascii="WP Greek Century" w:hAnsi="WP Greek Century"/>
          <w:b/>
          <w:spacing w:val="-2"/>
          <w:sz w:val="24"/>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96">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În mod similar, de starea de rugăciune şi de nerătăcire a minţii în gândurile lumii, leagă şi Evagrie Ponticul starea de nepătimire: </w:t>
      </w:r>
      <w:r w:rsidRPr="00F34AB5">
        <w:rPr>
          <w:i/>
          <w:spacing w:val="-2"/>
        </w:rPr>
        <w:t>153 de capete</w:t>
      </w:r>
      <w:r w:rsidRPr="00F34AB5">
        <w:rPr>
          <w:spacing w:val="-2"/>
        </w:rPr>
        <w:t xml:space="preserve">…, cap. 55: “Cel ce a atins nepătimirea, încă nu se şi roagă cu adevărat. Căci poate să urmărească niscai cugetări simple şi să fie răpit de istoriile lor şi să fie departe de Dumnezeu.” </w:t>
      </w:r>
    </w:p>
  </w:footnote>
  <w:footnote w:id="97">
    <w:p w:rsidR="004E1738" w:rsidRPr="00F34AB5" w:rsidRDefault="004E1738" w:rsidP="004E1738">
      <w:pPr>
        <w:pStyle w:val="FootnoteText"/>
        <w:spacing w:line="0" w:lineRule="atLeast"/>
        <w:jc w:val="both"/>
        <w:rPr>
          <w:bCs/>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98 (160, 20-22): </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98">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KG 35 (105, 4-5):</w:t>
      </w:r>
      <w:r w:rsidRPr="00F34AB5">
        <w:rPr>
          <w:b/>
          <w:spacing w:val="-2"/>
          <w:sz w:val="24"/>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bCs/>
          <w:spacing w:val="-2"/>
          <w:lang w:val="el-GR"/>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bCs/>
          <w:spacing w:val="-2"/>
        </w:rPr>
        <w:sym w:font="WP Greek Century" w:char="F05B"/>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99">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Def. </w:t>
      </w:r>
      <w:r w:rsidRPr="00F34AB5">
        <w:rPr>
          <w:spacing w:val="-2"/>
        </w:rPr>
        <w:t xml:space="preserve">8 (84, 16); </w:t>
      </w:r>
      <w:r w:rsidRPr="00F34AB5">
        <w:rPr>
          <w:spacing w:val="-2"/>
          <w:lang w:val="hr-HR"/>
        </w:rPr>
        <w:t xml:space="preserve">influenţa </w:t>
      </w:r>
      <w:r w:rsidRPr="00F34AB5">
        <w:rPr>
          <w:i/>
          <w:iCs/>
          <w:spacing w:val="-2"/>
          <w:lang w:val="hr-HR"/>
        </w:rPr>
        <w:t>Omiliilor pseudo-macariene</w:t>
      </w:r>
      <w:r w:rsidRPr="00F34AB5">
        <w:rPr>
          <w:spacing w:val="-2"/>
          <w:lang w:val="hr-HR"/>
        </w:rPr>
        <w:t xml:space="preserve"> e vădită în această definiţie, cf. </w:t>
      </w:r>
      <w:r w:rsidRPr="00F34AB5">
        <w:rPr>
          <w:i/>
          <w:iCs/>
          <w:spacing w:val="-2"/>
          <w:lang w:val="hr-HR"/>
        </w:rPr>
        <w:t>Omilia</w:t>
      </w:r>
      <w:r w:rsidRPr="00F34AB5">
        <w:rPr>
          <w:spacing w:val="-2"/>
          <w:lang w:val="hr-HR"/>
        </w:rPr>
        <w:t xml:space="preserve"> XLVI, 3, PSB 34, p. 268: “Dacă sufletul se alipeşte de Domnul şi dacă Domnul, mişcat de mila şi iubirea Sa, vine şi se lipeşte de el, dacă mintea rămâne neîncetat în harul Domnului, atunci sufletul şi Domnul rămân un singur Duh, o amestecare şi un cuget.”</w:t>
      </w:r>
    </w:p>
  </w:footnote>
  <w:footnote w:id="100">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74 (133, 5):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έ</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p>
  </w:footnote>
  <w:footnote w:id="101">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76 (134, 23-25):</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spacing w:val="-2"/>
        </w:rPr>
        <w:t>.</w:t>
      </w:r>
    </w:p>
  </w:footnote>
  <w:footnote w:id="102">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KG 65 (125, 15-18).</w:t>
      </w:r>
    </w:p>
  </w:footnote>
  <w:footnote w:id="103">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100 (162, 17); nepătimirea, ca neînvinovăţire şi seninătate a conştiinţei, exprimată într-un limbaj asemănător cu cel al Sfântului Diadoh, dar absolutizată ca stare de totală lipsă de luptă din partea ispitelor, e descrisă de Cuviosul Isaia Pustnicul, în cap. 18 din cele</w:t>
      </w:r>
      <w:r w:rsidRPr="00F34AB5">
        <w:rPr>
          <w:i/>
          <w:spacing w:val="-2"/>
        </w:rPr>
        <w:t xml:space="preserve"> 27 capete despre păzirea minţii</w:t>
      </w:r>
      <w:r w:rsidRPr="00F34AB5">
        <w:rPr>
          <w:spacing w:val="-2"/>
        </w:rPr>
        <w:t xml:space="preserve">, FR 1, </w:t>
      </w:r>
      <w:r w:rsidRPr="00F34AB5">
        <w:rPr>
          <w:i/>
          <w:iCs/>
          <w:spacing w:val="-2"/>
        </w:rPr>
        <w:t>ed. cit.</w:t>
      </w:r>
      <w:r w:rsidRPr="00F34AB5">
        <w:rPr>
          <w:spacing w:val="-2"/>
        </w:rPr>
        <w:t xml:space="preserve"> p. 483: “Căci câtă vreme îl mustră conştiinţa pentru unele lucrări împotriva firii, nu este cu totul liber… Dacă vezi că roada cea bună s-a împuternicit de n-o mai înăbuşe neghina vrăjmaşului, şi că nu din voia lor şi din vicleşug s-au depărtat potrivnicii, încetând a mai război simţurile tale... să ştii că ai biruit cu ajutorul lui Dumnezeu… Dar nepătimirea nu e tulburată de război. Cel ajuns la nepătimire a primit răsplata şi nu mai are grijă de dezbinarea celor trei (sufletul, trupul şi duhul), căci s-a făcut pace între ei prin Dumnezeu.” </w:t>
      </w:r>
    </w:p>
  </w:footnote>
  <w:footnote w:id="104">
    <w:p w:rsidR="004E1738" w:rsidRPr="00F34AB5" w:rsidRDefault="004E1738" w:rsidP="004E1738">
      <w:pPr>
        <w:pStyle w:val="FootnoteText"/>
        <w:spacing w:line="0" w:lineRule="atLeast"/>
        <w:jc w:val="both"/>
        <w:rPr>
          <w:spacing w:val="-2"/>
          <w:lang w:val="en-GB"/>
        </w:rPr>
      </w:pPr>
      <w:r w:rsidRPr="00F34AB5">
        <w:rPr>
          <w:rStyle w:val="FootnoteReference"/>
          <w:spacing w:val="-2"/>
        </w:rPr>
        <w:footnoteRef/>
      </w:r>
      <w:r w:rsidRPr="00F34AB5">
        <w:rPr>
          <w:spacing w:val="-2"/>
        </w:rPr>
        <w:t xml:space="preserve"> </w:t>
      </w:r>
      <w:r w:rsidRPr="00F34AB5">
        <w:rPr>
          <w:spacing w:val="-2"/>
        </w:rPr>
        <w:t>KG 74 (132, 24-133, 10).</w:t>
      </w:r>
    </w:p>
  </w:footnote>
  <w:footnote w:id="105">
    <w:p w:rsidR="004E1738" w:rsidRPr="00F34AB5" w:rsidRDefault="004E1738" w:rsidP="004E1738">
      <w:pPr>
        <w:pStyle w:val="FootnoteText"/>
        <w:spacing w:line="0" w:lineRule="atLeast"/>
        <w:jc w:val="both"/>
        <w:rPr>
          <w:spacing w:val="-2"/>
          <w:lang w:val="en-GB"/>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89 (150, 13-14), FR 1, </w:t>
      </w:r>
      <w:r w:rsidRPr="00F34AB5">
        <w:rPr>
          <w:i/>
          <w:iCs/>
          <w:spacing w:val="-2"/>
        </w:rPr>
        <w:t>ed. cit</w:t>
      </w:r>
      <w:r w:rsidRPr="00F34AB5">
        <w:rPr>
          <w:spacing w:val="-2"/>
        </w:rPr>
        <w:t>. p. 464.</w:t>
      </w:r>
    </w:p>
  </w:footnote>
  <w:footnote w:id="106">
    <w:p w:rsidR="004E1738" w:rsidRPr="00F34AB5" w:rsidRDefault="004E1738" w:rsidP="004E1738">
      <w:pPr>
        <w:pStyle w:val="FootnoteText"/>
        <w:spacing w:line="0" w:lineRule="atLeast"/>
        <w:jc w:val="both"/>
        <w:rPr>
          <w:spacing w:val="-2"/>
          <w:lang w:val="en-GB"/>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35 (104, 15-21, 105, 1-2), cf. şi FR 1, ed. cit. pp.428-429.</w:t>
      </w:r>
    </w:p>
  </w:footnote>
  <w:footnote w:id="107">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i/>
          <w:spacing w:val="-2"/>
        </w:rPr>
        <w:t>Stromata</w:t>
      </w:r>
      <w:r w:rsidRPr="00F34AB5">
        <w:rPr>
          <w:spacing w:val="-2"/>
        </w:rPr>
        <w:t xml:space="preserve"> </w:t>
      </w:r>
      <w:r w:rsidRPr="00F34AB5">
        <w:rPr>
          <w:spacing w:val="-2"/>
        </w:rPr>
        <w:t xml:space="preserve">III, 5, 43, 1, Cf. Tomas Spidlik, </w:t>
      </w:r>
      <w:r w:rsidRPr="00F34AB5">
        <w:rPr>
          <w:i/>
          <w:spacing w:val="-2"/>
        </w:rPr>
        <w:t>op. cit</w:t>
      </w:r>
      <w:r w:rsidRPr="00F34AB5">
        <w:rPr>
          <w:spacing w:val="-2"/>
        </w:rPr>
        <w:t>., vol. I, p. 307.</w:t>
      </w:r>
      <w:r w:rsidRPr="00F34AB5">
        <w:rPr>
          <w:rFonts w:ascii="Symbol" w:hAnsi="Symbol"/>
          <w:spacing w:val="-2"/>
        </w:rPr>
        <w:t></w:t>
      </w:r>
    </w:p>
  </w:footnote>
  <w:footnote w:id="108">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Dumnezeu </w:t>
      </w:r>
      <w:r w:rsidRPr="00F34AB5">
        <w:rPr>
          <w:spacing w:val="-2"/>
        </w:rPr>
        <w:t xml:space="preserve">e pentru Clement: “Prietenul la care el (gnosticul) aparţine conform Lui prin habitusul ascezei, aflându-se fericit în posesia acestui bun lucru, şi iată de ce el </w:t>
      </w:r>
      <w:r w:rsidRPr="00F34AB5">
        <w:rPr>
          <w:i/>
          <w:iCs/>
          <w:spacing w:val="-2"/>
        </w:rPr>
        <w:t>(sufletul) nu poate să fie deosebit de Stăpânul în apatheia</w:t>
      </w:r>
      <w:r w:rsidRPr="00F34AB5">
        <w:rPr>
          <w:spacing w:val="-2"/>
        </w:rPr>
        <w:t xml:space="preserve">”; cf. </w:t>
      </w:r>
      <w:r w:rsidRPr="00F34AB5">
        <w:rPr>
          <w:i/>
          <w:spacing w:val="-2"/>
        </w:rPr>
        <w:t>Stromata</w:t>
      </w:r>
      <w:r w:rsidRPr="00F34AB5">
        <w:rPr>
          <w:spacing w:val="-2"/>
        </w:rPr>
        <w:t xml:space="preserve"> </w:t>
      </w:r>
      <w:r w:rsidRPr="00F34AB5">
        <w:rPr>
          <w:i/>
          <w:spacing w:val="-2"/>
        </w:rPr>
        <w:t>VI,</w:t>
      </w:r>
      <w:r w:rsidRPr="00F34AB5">
        <w:rPr>
          <w:spacing w:val="-2"/>
        </w:rPr>
        <w:t xml:space="preserve"> 9, 71-2, 73-5, 6, ed. Staehlin, II, pp. 467-8, apud L. Bouyer, </w:t>
      </w:r>
      <w:r w:rsidRPr="00F34AB5">
        <w:rPr>
          <w:i/>
          <w:spacing w:val="-2"/>
        </w:rPr>
        <w:t>op. cit</w:t>
      </w:r>
      <w:r w:rsidRPr="00F34AB5">
        <w:rPr>
          <w:spacing w:val="-2"/>
        </w:rPr>
        <w:t>. p. 274, cf. şi PSB 5, p. 428, 429.</w:t>
      </w:r>
    </w:p>
  </w:footnote>
  <w:footnote w:id="109">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Presbiterul </w:t>
      </w:r>
      <w:r w:rsidRPr="00F34AB5">
        <w:rPr>
          <w:spacing w:val="-2"/>
        </w:rPr>
        <w:t xml:space="preserve">Timotei, </w:t>
      </w:r>
      <w:r w:rsidRPr="00F34AB5">
        <w:rPr>
          <w:i/>
          <w:spacing w:val="-2"/>
        </w:rPr>
        <w:t>De receptione haereticorum</w:t>
      </w:r>
      <w:r w:rsidRPr="00F34AB5">
        <w:rPr>
          <w:spacing w:val="-2"/>
        </w:rPr>
        <w:t xml:space="preserve">, prop. 11, PG 86/1 col. 49: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spacing w:val="-2"/>
        </w:rPr>
        <w:t xml:space="preserve">. „Ei spun că sufletul omului duhovnicesc, după ce atinge ceea ce aceia numesc nepătimire, se transformă în dumnezeiasca şi imateriala fire.  </w:t>
      </w:r>
    </w:p>
  </w:footnote>
  <w:footnote w:id="110">
    <w:p w:rsidR="004E1738" w:rsidRPr="00F34AB5" w:rsidRDefault="004E1738" w:rsidP="004E1738">
      <w:pPr>
        <w:spacing w:line="0" w:lineRule="atLeast"/>
        <w:jc w:val="both"/>
        <w:rPr>
          <w:spacing w:val="-2"/>
        </w:rPr>
      </w:pPr>
      <w:r w:rsidRPr="00F34AB5">
        <w:rPr>
          <w:spacing w:val="-2"/>
          <w:vertAlign w:val="superscript"/>
        </w:rPr>
        <w:footnoteRef/>
      </w:r>
      <w:r w:rsidRPr="00F34AB5">
        <w:rPr>
          <w:i/>
          <w:spacing w:val="-2"/>
        </w:rPr>
        <w:t xml:space="preserve"> </w:t>
      </w:r>
      <w:r w:rsidRPr="00F34AB5">
        <w:rPr>
          <w:iCs/>
          <w:spacing w:val="-2"/>
        </w:rPr>
        <w:t xml:space="preserve">Frecvenţa </w:t>
      </w:r>
      <w:r w:rsidRPr="00F34AB5">
        <w:rPr>
          <w:iCs/>
          <w:spacing w:val="-2"/>
        </w:rPr>
        <w:t>şi importanţa deosebită a „dorinţei“ pentru viaţa duhovnicească la Sfântul Diadoh, vădeşte influenţarea sa, cu mare probabilitate, din Clement Alexandrinul care le răspunde a</w:t>
      </w:r>
      <w:r w:rsidRPr="00F34AB5">
        <w:rPr>
          <w:spacing w:val="-2"/>
        </w:rPr>
        <w:t xml:space="preserve">celora care ziceau că „gnosticul trebuie să nu aibă dorinţă, pentru că pe de o parte dacă dorinţa nu este prezentă, omul nu este complet şi desăvârşit, iar, pe de altă parte, dacă este prezentă omul nu poate să fie nepătimaş, pentru că tinde spre acea dorinţă“, (le răspunde) subliniind caracterul divin al iubirii ca o intimitate iubitoare care îl stabileşte pe gnostic în unitatea credinţei, fără a avea oarecare nevoie mai mare de timp sau spaţiu“;... pentru că „gnoza realizează exersarea, exersarea apoi aduce habitusul sau obişnuinţa, iar această liniştire (katastasis) sfârşeşte în apatheia...” </w:t>
      </w:r>
      <w:r w:rsidRPr="00F34AB5">
        <w:rPr>
          <w:i/>
          <w:spacing w:val="-2"/>
        </w:rPr>
        <w:t>VI Stromata</w:t>
      </w:r>
      <w:r w:rsidRPr="00F34AB5">
        <w:rPr>
          <w:spacing w:val="-2"/>
        </w:rPr>
        <w:t xml:space="preserve"> 9, 73-74, ed. Staehlin, II, pp. 467-8, apud L. Bouyer, </w:t>
      </w:r>
      <w:r w:rsidRPr="00F34AB5">
        <w:rPr>
          <w:i/>
          <w:spacing w:val="-2"/>
        </w:rPr>
        <w:t>op. cit</w:t>
      </w:r>
      <w:r w:rsidRPr="00F34AB5">
        <w:rPr>
          <w:spacing w:val="-2"/>
        </w:rPr>
        <w:t xml:space="preserve">. p. 274, cf. şi PSB 5, p. 428, 429. </w:t>
      </w:r>
    </w:p>
  </w:footnote>
  <w:footnote w:id="111">
    <w:p w:rsidR="004E1738" w:rsidRPr="00F34AB5" w:rsidRDefault="004E1738" w:rsidP="004E1738">
      <w:pPr>
        <w:pStyle w:val="FootnoteTex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35 (104, 18-21, 105, 1-4). Cf. KG 62 (121, 22 – 123, 7). Apatheia a avut pentru filosofia stoică şi cea neoplatonică mai mult semnificaţia de netulburare, de lipsă totală de tulburare a sufletului, de eliberarea a sufletului de patimi, fără a spune în mod exact cum aceasta se întâmplă. Philon al Alexandriei, urmând primilor stoici a accentuat acest aspect negativ al lipsei desăvârşite a tuturor patimilor din suflet, în comentariul său la viaţa lui Moise: Moise în Cântarea sa laudă pe Dumnezeu pentru că a aruncat în Marea Roşie caii şi călăreţii, adică cele patru patimi şi mintea plină de păcate pe care acestea o purtau. Apatheia pentru Philon înseamnă exact această absenţă a patimilor şi a minţii păcătoase fără a pune ceva în locul lor după ce acestea au fost aruncate. </w:t>
      </w:r>
      <w:r w:rsidRPr="00F34AB5">
        <w:rPr>
          <w:i/>
          <w:iCs/>
          <w:spacing w:val="-2"/>
        </w:rPr>
        <w:t>Leg. allegor</w:t>
      </w:r>
      <w:r w:rsidRPr="00F34AB5">
        <w:rPr>
          <w:spacing w:val="-2"/>
        </w:rPr>
        <w:t xml:space="preserve">. , II, 25, 102, apud E. Brehier, </w:t>
      </w:r>
      <w:r w:rsidRPr="00F34AB5">
        <w:rPr>
          <w:i/>
          <w:spacing w:val="-2"/>
        </w:rPr>
        <w:t>Les idees philosophiques et religieuses de Philon d’Alexandrie</w:t>
      </w:r>
      <w:r w:rsidRPr="00F34AB5">
        <w:rPr>
          <w:spacing w:val="-2"/>
        </w:rPr>
        <w:t>, Paris, 1908, p, 254.</w:t>
      </w:r>
    </w:p>
  </w:footnote>
  <w:footnote w:id="112">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89 (149, 22-24, 150, 1, 15-17), cf. II Cor. 4, 16.</w:t>
      </w:r>
    </w:p>
  </w:footnote>
  <w:footnote w:id="113">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KG </w:t>
      </w:r>
      <w:r w:rsidRPr="00F34AB5">
        <w:rPr>
          <w:spacing w:val="-2"/>
        </w:rPr>
        <w:t xml:space="preserve">90 (151, 10-12):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bCs/>
          <w:spacing w:val="-2"/>
        </w:rPr>
        <w:t>έ</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spacing w:val="-2"/>
        </w:rPr>
        <w:t xml:space="preserve">Legătura indisolubilă dintre dragoste şi nepătimire e subliniată şi de Evagrie Ponticul, </w:t>
      </w:r>
      <w:r w:rsidRPr="00F34AB5">
        <w:rPr>
          <w:i/>
          <w:spacing w:val="-2"/>
        </w:rPr>
        <w:t>Tratatul practic</w:t>
      </w:r>
      <w:r w:rsidRPr="00F34AB5">
        <w:rPr>
          <w:spacing w:val="-2"/>
        </w:rPr>
        <w:t xml:space="preserve">, 81: „Iubirea este fiica nepătimirii”, </w:t>
      </w:r>
      <w:r w:rsidRPr="00F34AB5">
        <w:rPr>
          <w:i/>
          <w:iCs/>
          <w:spacing w:val="-2"/>
        </w:rPr>
        <w:t>ed. cit.</w:t>
      </w:r>
      <w:r w:rsidRPr="00F34AB5">
        <w:rPr>
          <w:spacing w:val="-2"/>
        </w:rPr>
        <w:t xml:space="preserve"> p. 106.</w:t>
      </w:r>
    </w:p>
  </w:footnote>
  <w:footnote w:id="114">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Cf. </w:t>
      </w:r>
      <w:r w:rsidRPr="00F34AB5">
        <w:rPr>
          <w:spacing w:val="-2"/>
        </w:rPr>
        <w:t>Rom 14, 17, II Cor. 5, 4, KG 90 (152, 3-6)</w:t>
      </w:r>
      <w:r w:rsidRPr="00F34AB5">
        <w:rPr>
          <w:spacing w:val="-2"/>
          <w:sz w:val="24"/>
        </w:rPr>
        <w:t xml:space="preserve">: </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rFonts w:ascii="WP Greek Century" w:hAnsi="WP Greek Century"/>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 xml:space="preserve"> </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rFonts w:ascii="WP Greek Century" w:hAnsi="WP Greek Century"/>
          <w:bCs/>
          <w:spacing w:val="-2"/>
        </w:rPr>
        <w:t></w:t>
      </w:r>
      <w:r w:rsidRPr="00F34AB5">
        <w:rPr>
          <w:bCs/>
          <w:spacing w:val="-2"/>
        </w:rPr>
        <w:t>.</w:t>
      </w:r>
    </w:p>
  </w:footnote>
  <w:footnote w:id="115">
    <w:p w:rsidR="004E1738" w:rsidRPr="00F34AB5" w:rsidRDefault="004E1738" w:rsidP="004E1738">
      <w:pPr>
        <w:pStyle w:val="FootnoteText"/>
        <w:spacing w:line="0" w:lineRule="atLeast"/>
        <w:jc w:val="both"/>
        <w:rPr>
          <w:spacing w:val="-2"/>
        </w:rPr>
      </w:pPr>
      <w:r w:rsidRPr="00F34AB5">
        <w:rPr>
          <w:rStyle w:val="FootnoteReference"/>
          <w:spacing w:val="-2"/>
        </w:rPr>
        <w:footnoteRef/>
      </w:r>
      <w:r w:rsidRPr="00F34AB5">
        <w:rPr>
          <w:spacing w:val="-2"/>
        </w:rPr>
        <w:t xml:space="preserve"> </w:t>
      </w:r>
      <w:r w:rsidRPr="00F34AB5">
        <w:rPr>
          <w:spacing w:val="-2"/>
        </w:rPr>
        <w:t xml:space="preserve">Def. </w:t>
      </w:r>
      <w:r w:rsidRPr="00F34AB5">
        <w:rPr>
          <w:spacing w:val="-2"/>
        </w:rPr>
        <w:t>10 (85, 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B69CF"/>
    <w:multiLevelType w:val="hybridMultilevel"/>
    <w:tmpl w:val="E146E8F2"/>
    <w:lvl w:ilvl="0" w:tplc="0A12CB54">
      <w:start w:val="12"/>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1">
    <w:nsid w:val="07E45F86"/>
    <w:multiLevelType w:val="singleLevel"/>
    <w:tmpl w:val="C60AF4F4"/>
    <w:lvl w:ilvl="0">
      <w:start w:val="19"/>
      <w:numFmt w:val="decimal"/>
      <w:lvlText w:val="%1."/>
      <w:legacy w:legacy="1" w:legacySpace="0" w:legacyIndent="508"/>
      <w:lvlJc w:val="left"/>
      <w:rPr>
        <w:rFonts w:ascii="Times New Roman" w:hAnsi="Times New Roman" w:cs="Times New Roman" w:hint="default"/>
      </w:rPr>
    </w:lvl>
  </w:abstractNum>
  <w:abstractNum w:abstractNumId="2">
    <w:nsid w:val="12A03F8E"/>
    <w:multiLevelType w:val="singleLevel"/>
    <w:tmpl w:val="E606F0F2"/>
    <w:lvl w:ilvl="0">
      <w:start w:val="10"/>
      <w:numFmt w:val="decimal"/>
      <w:lvlText w:val="%1."/>
      <w:legacy w:legacy="1" w:legacySpace="0" w:legacyIndent="360"/>
      <w:lvlJc w:val="left"/>
      <w:pPr>
        <w:ind w:left="0" w:firstLine="0"/>
      </w:pPr>
      <w:rPr>
        <w:rFonts w:ascii="Times New Roman" w:hAnsi="Times New Roman" w:cs="Times New Roman" w:hint="default"/>
      </w:rPr>
    </w:lvl>
  </w:abstractNum>
  <w:abstractNum w:abstractNumId="3">
    <w:nsid w:val="12DA6CB8"/>
    <w:multiLevelType w:val="hybridMultilevel"/>
    <w:tmpl w:val="52B662EA"/>
    <w:lvl w:ilvl="0" w:tplc="24FE8680">
      <w:start w:val="1"/>
      <w:numFmt w:val="decimal"/>
      <w:lvlText w:val="%1."/>
      <w:lvlJc w:val="left"/>
      <w:pPr>
        <w:tabs>
          <w:tab w:val="num" w:pos="57"/>
        </w:tabs>
        <w:ind w:left="57" w:firstLine="0"/>
      </w:pPr>
      <w:rPr>
        <w:rFonts w:hint="default"/>
        <w:b w:val="0"/>
        <w:color w:val="auto"/>
      </w:rPr>
    </w:lvl>
    <w:lvl w:ilvl="1" w:tplc="04090001">
      <w:start w:val="1"/>
      <w:numFmt w:val="bullet"/>
      <w:lvlText w:val=""/>
      <w:lvlJc w:val="left"/>
      <w:pPr>
        <w:tabs>
          <w:tab w:val="num" w:pos="1497"/>
        </w:tabs>
        <w:ind w:left="1497" w:hanging="360"/>
      </w:pPr>
      <w:rPr>
        <w:rFonts w:ascii="Symbol" w:hAnsi="Symbol" w:hint="default"/>
        <w:b w:val="0"/>
        <w:color w:val="auto"/>
      </w:rPr>
    </w:lvl>
    <w:lvl w:ilvl="2" w:tplc="6FB88604">
      <w:start w:val="9"/>
      <w:numFmt w:val="decimal"/>
      <w:lvlText w:val="%3"/>
      <w:lvlJc w:val="left"/>
      <w:pPr>
        <w:tabs>
          <w:tab w:val="num" w:pos="2397"/>
        </w:tabs>
        <w:ind w:left="2397" w:hanging="360"/>
      </w:pPr>
      <w:rPr>
        <w:rFonts w:hint="default"/>
      </w:rPr>
    </w:lvl>
    <w:lvl w:ilvl="3" w:tplc="0409000F" w:tentative="1">
      <w:start w:val="1"/>
      <w:numFmt w:val="decimal"/>
      <w:lvlText w:val="%4."/>
      <w:lvlJc w:val="left"/>
      <w:pPr>
        <w:tabs>
          <w:tab w:val="num" w:pos="2937"/>
        </w:tabs>
        <w:ind w:left="2937" w:hanging="360"/>
      </w:pPr>
    </w:lvl>
    <w:lvl w:ilvl="4" w:tplc="04090019" w:tentative="1">
      <w:start w:val="1"/>
      <w:numFmt w:val="lowerLetter"/>
      <w:lvlText w:val="%5."/>
      <w:lvlJc w:val="left"/>
      <w:pPr>
        <w:tabs>
          <w:tab w:val="num" w:pos="3657"/>
        </w:tabs>
        <w:ind w:left="3657" w:hanging="360"/>
      </w:pPr>
    </w:lvl>
    <w:lvl w:ilvl="5" w:tplc="0409001B" w:tentative="1">
      <w:start w:val="1"/>
      <w:numFmt w:val="lowerRoman"/>
      <w:lvlText w:val="%6."/>
      <w:lvlJc w:val="right"/>
      <w:pPr>
        <w:tabs>
          <w:tab w:val="num" w:pos="4377"/>
        </w:tabs>
        <w:ind w:left="4377" w:hanging="180"/>
      </w:pPr>
    </w:lvl>
    <w:lvl w:ilvl="6" w:tplc="0409000F" w:tentative="1">
      <w:start w:val="1"/>
      <w:numFmt w:val="decimal"/>
      <w:lvlText w:val="%7."/>
      <w:lvlJc w:val="left"/>
      <w:pPr>
        <w:tabs>
          <w:tab w:val="num" w:pos="5097"/>
        </w:tabs>
        <w:ind w:left="5097" w:hanging="360"/>
      </w:pPr>
    </w:lvl>
    <w:lvl w:ilvl="7" w:tplc="04090019" w:tentative="1">
      <w:start w:val="1"/>
      <w:numFmt w:val="lowerLetter"/>
      <w:lvlText w:val="%8."/>
      <w:lvlJc w:val="left"/>
      <w:pPr>
        <w:tabs>
          <w:tab w:val="num" w:pos="5817"/>
        </w:tabs>
        <w:ind w:left="5817" w:hanging="360"/>
      </w:pPr>
    </w:lvl>
    <w:lvl w:ilvl="8" w:tplc="0409001B" w:tentative="1">
      <w:start w:val="1"/>
      <w:numFmt w:val="lowerRoman"/>
      <w:lvlText w:val="%9."/>
      <w:lvlJc w:val="right"/>
      <w:pPr>
        <w:tabs>
          <w:tab w:val="num" w:pos="6537"/>
        </w:tabs>
        <w:ind w:left="6537" w:hanging="180"/>
      </w:pPr>
    </w:lvl>
  </w:abstractNum>
  <w:abstractNum w:abstractNumId="4">
    <w:nsid w:val="168652A7"/>
    <w:multiLevelType w:val="hybridMultilevel"/>
    <w:tmpl w:val="675E13F2"/>
    <w:lvl w:ilvl="0" w:tplc="FFFFFFFF">
      <w:start w:val="1"/>
      <w:numFmt w:val="bullet"/>
      <w:lvlText w:val=""/>
      <w:lvlJc w:val="left"/>
      <w:pPr>
        <w:tabs>
          <w:tab w:val="num" w:pos="454"/>
        </w:tabs>
        <w:ind w:left="454" w:hanging="397"/>
      </w:pPr>
      <w:rPr>
        <w:rFonts w:ascii="Symbol" w:hAnsi="Symbol" w:hint="default"/>
      </w:rPr>
    </w:lvl>
    <w:lvl w:ilvl="1" w:tplc="FFFFFFFF">
      <w:start w:val="1"/>
      <w:numFmt w:val="bullet"/>
      <w:lvlText w:val=""/>
      <w:lvlJc w:val="left"/>
      <w:pPr>
        <w:tabs>
          <w:tab w:val="num" w:pos="454"/>
        </w:tabs>
        <w:ind w:left="454" w:hanging="397"/>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70976E9"/>
    <w:multiLevelType w:val="singleLevel"/>
    <w:tmpl w:val="58703146"/>
    <w:lvl w:ilvl="0">
      <w:start w:val="36"/>
      <w:numFmt w:val="decimal"/>
      <w:lvlText w:val="%1."/>
      <w:legacy w:legacy="1" w:legacySpace="0" w:legacyIndent="490"/>
      <w:lvlJc w:val="left"/>
      <w:rPr>
        <w:rFonts w:ascii="Times New Roman" w:hAnsi="Times New Roman" w:cs="Times New Roman" w:hint="default"/>
      </w:rPr>
    </w:lvl>
  </w:abstractNum>
  <w:abstractNum w:abstractNumId="6">
    <w:nsid w:val="1C3D73D4"/>
    <w:multiLevelType w:val="singleLevel"/>
    <w:tmpl w:val="A7A00F50"/>
    <w:lvl w:ilvl="0">
      <w:start w:val="27"/>
      <w:numFmt w:val="decimal"/>
      <w:lvlText w:val="%1."/>
      <w:legacy w:legacy="1" w:legacySpace="0" w:legacyIndent="509"/>
      <w:lvlJc w:val="left"/>
      <w:rPr>
        <w:rFonts w:ascii="Times New Roman" w:hAnsi="Times New Roman" w:cs="Times New Roman" w:hint="default"/>
      </w:rPr>
    </w:lvl>
  </w:abstractNum>
  <w:abstractNum w:abstractNumId="7">
    <w:nsid w:val="1EA60F37"/>
    <w:multiLevelType w:val="singleLevel"/>
    <w:tmpl w:val="B30428C0"/>
    <w:lvl w:ilvl="0">
      <w:start w:val="72"/>
      <w:numFmt w:val="decimal"/>
      <w:lvlText w:val="%1."/>
      <w:legacy w:legacy="1" w:legacySpace="0" w:legacyIndent="562"/>
      <w:lvlJc w:val="left"/>
      <w:rPr>
        <w:rFonts w:ascii="Times New Roman" w:hAnsi="Times New Roman" w:cs="Times New Roman" w:hint="default"/>
      </w:rPr>
    </w:lvl>
  </w:abstractNum>
  <w:abstractNum w:abstractNumId="8">
    <w:nsid w:val="1F790DA9"/>
    <w:multiLevelType w:val="singleLevel"/>
    <w:tmpl w:val="9842B0B8"/>
    <w:lvl w:ilvl="0">
      <w:start w:val="7"/>
      <w:numFmt w:val="decimal"/>
      <w:lvlText w:val="%1."/>
      <w:legacy w:legacy="1" w:legacySpace="0" w:legacyIndent="264"/>
      <w:lvlJc w:val="left"/>
      <w:pPr>
        <w:ind w:left="0" w:firstLine="0"/>
      </w:pPr>
      <w:rPr>
        <w:rFonts w:ascii="Times New Roman" w:hAnsi="Times New Roman" w:cs="Times New Roman" w:hint="default"/>
      </w:rPr>
    </w:lvl>
  </w:abstractNum>
  <w:abstractNum w:abstractNumId="9">
    <w:nsid w:val="22E31E1A"/>
    <w:multiLevelType w:val="singleLevel"/>
    <w:tmpl w:val="E1589E6A"/>
    <w:lvl w:ilvl="0">
      <w:start w:val="50"/>
      <w:numFmt w:val="decimal"/>
      <w:lvlText w:val="%1."/>
      <w:legacy w:legacy="1" w:legacySpace="0" w:legacyIndent="514"/>
      <w:lvlJc w:val="left"/>
      <w:rPr>
        <w:rFonts w:ascii="Times New Roman" w:hAnsi="Times New Roman" w:cs="Times New Roman" w:hint="default"/>
      </w:rPr>
    </w:lvl>
  </w:abstractNum>
  <w:abstractNum w:abstractNumId="10">
    <w:nsid w:val="23CC72B5"/>
    <w:multiLevelType w:val="multilevel"/>
    <w:tmpl w:val="E146E8F2"/>
    <w:lvl w:ilvl="0">
      <w:start w:val="1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90616F2"/>
    <w:multiLevelType w:val="singleLevel"/>
    <w:tmpl w:val="F6024A36"/>
    <w:lvl w:ilvl="0">
      <w:start w:val="10"/>
      <w:numFmt w:val="decimal"/>
      <w:lvlText w:val="%1."/>
      <w:legacy w:legacy="1" w:legacySpace="0" w:legacyIndent="514"/>
      <w:lvlJc w:val="left"/>
      <w:rPr>
        <w:rFonts w:ascii="Times New Roman" w:hAnsi="Times New Roman" w:cs="Times New Roman" w:hint="default"/>
      </w:rPr>
    </w:lvl>
  </w:abstractNum>
  <w:abstractNum w:abstractNumId="12">
    <w:nsid w:val="2A7046A4"/>
    <w:multiLevelType w:val="multilevel"/>
    <w:tmpl w:val="CBA89BA4"/>
    <w:lvl w:ilvl="0">
      <w:start w:val="1"/>
      <w:numFmt w:val="decimal"/>
      <w:lvlText w:val="%1."/>
      <w:lvlJc w:val="left"/>
      <w:pPr>
        <w:tabs>
          <w:tab w:val="num" w:pos="720"/>
        </w:tabs>
        <w:ind w:left="720" w:hanging="360"/>
      </w:pPr>
      <w:rPr>
        <w:b w:val="0"/>
        <w:color w:val="auto"/>
      </w:rPr>
    </w:lvl>
    <w:lvl w:ilvl="1">
      <w:start w:val="1"/>
      <w:numFmt w:val="bullet"/>
      <w:lvlText w:val=""/>
      <w:lvlJc w:val="left"/>
      <w:pPr>
        <w:tabs>
          <w:tab w:val="num" w:pos="1440"/>
        </w:tabs>
        <w:ind w:left="1440" w:hanging="360"/>
      </w:pPr>
      <w:rPr>
        <w:rFonts w:ascii="Symbol" w:hAnsi="Symbol" w:hint="default"/>
        <w:b w:val="0"/>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2E540C26"/>
    <w:multiLevelType w:val="hybridMultilevel"/>
    <w:tmpl w:val="675E13F2"/>
    <w:lvl w:ilvl="0" w:tplc="FFFFFFFF">
      <w:start w:val="1"/>
      <w:numFmt w:val="bullet"/>
      <w:lvlText w:val=""/>
      <w:lvlJc w:val="left"/>
      <w:pPr>
        <w:tabs>
          <w:tab w:val="num" w:pos="454"/>
        </w:tabs>
        <w:ind w:left="454" w:hanging="39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2EC27455"/>
    <w:multiLevelType w:val="singleLevel"/>
    <w:tmpl w:val="7E866EE2"/>
    <w:lvl w:ilvl="0">
      <w:start w:val="17"/>
      <w:numFmt w:val="decimal"/>
      <w:lvlText w:val="%1."/>
      <w:legacy w:legacy="1" w:legacySpace="0" w:legacyIndent="446"/>
      <w:lvlJc w:val="left"/>
      <w:rPr>
        <w:rFonts w:ascii="Times New Roman" w:hAnsi="Times New Roman" w:cs="Times New Roman" w:hint="default"/>
      </w:rPr>
    </w:lvl>
  </w:abstractNum>
  <w:abstractNum w:abstractNumId="15">
    <w:nsid w:val="2FA10260"/>
    <w:multiLevelType w:val="singleLevel"/>
    <w:tmpl w:val="BDC4BD0E"/>
    <w:lvl w:ilvl="0">
      <w:start w:val="55"/>
      <w:numFmt w:val="decimal"/>
      <w:lvlText w:val="%1."/>
      <w:legacy w:legacy="1" w:legacySpace="0" w:legacyIndent="442"/>
      <w:lvlJc w:val="left"/>
      <w:rPr>
        <w:rFonts w:ascii="Times New Roman" w:hAnsi="Times New Roman" w:cs="Times New Roman" w:hint="default"/>
      </w:rPr>
    </w:lvl>
  </w:abstractNum>
  <w:abstractNum w:abstractNumId="16">
    <w:nsid w:val="33905BFC"/>
    <w:multiLevelType w:val="multilevel"/>
    <w:tmpl w:val="3A9CD0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3CCE62A8"/>
    <w:multiLevelType w:val="singleLevel"/>
    <w:tmpl w:val="18EA2F1E"/>
    <w:lvl w:ilvl="0">
      <w:start w:val="13"/>
      <w:numFmt w:val="decimal"/>
      <w:lvlText w:val="%1."/>
      <w:legacy w:legacy="1" w:legacySpace="0" w:legacyIndent="514"/>
      <w:lvlJc w:val="left"/>
      <w:rPr>
        <w:rFonts w:ascii="Times New Roman" w:hAnsi="Times New Roman" w:cs="Times New Roman" w:hint="default"/>
      </w:rPr>
    </w:lvl>
  </w:abstractNum>
  <w:abstractNum w:abstractNumId="18">
    <w:nsid w:val="3DC90382"/>
    <w:multiLevelType w:val="singleLevel"/>
    <w:tmpl w:val="790E7BEA"/>
    <w:lvl w:ilvl="0">
      <w:start w:val="8"/>
      <w:numFmt w:val="decimal"/>
      <w:lvlText w:val="%1."/>
      <w:legacy w:legacy="1" w:legacySpace="0" w:legacyIndent="341"/>
      <w:lvlJc w:val="left"/>
      <w:rPr>
        <w:rFonts w:ascii="Times New Roman" w:hAnsi="Times New Roman" w:cs="Times New Roman" w:hint="default"/>
      </w:rPr>
    </w:lvl>
  </w:abstractNum>
  <w:abstractNum w:abstractNumId="19">
    <w:nsid w:val="4AF155B0"/>
    <w:multiLevelType w:val="hybridMultilevel"/>
    <w:tmpl w:val="FFDE97C2"/>
    <w:lvl w:ilvl="0" w:tplc="2B3AD372">
      <w:start w:val="12"/>
      <w:numFmt w:val="decimal"/>
      <w:lvlText w:val="%1"/>
      <w:lvlJc w:val="left"/>
      <w:pPr>
        <w:tabs>
          <w:tab w:val="num" w:pos="0"/>
        </w:tabs>
        <w:ind w:left="144" w:firstLine="21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5724E77"/>
    <w:multiLevelType w:val="singleLevel"/>
    <w:tmpl w:val="EE2A62B6"/>
    <w:lvl w:ilvl="0">
      <w:start w:val="4"/>
      <w:numFmt w:val="bullet"/>
      <w:lvlText w:val="-"/>
      <w:lvlJc w:val="left"/>
      <w:pPr>
        <w:tabs>
          <w:tab w:val="num" w:pos="2736"/>
        </w:tabs>
        <w:ind w:left="2736" w:hanging="360"/>
      </w:pPr>
      <w:rPr>
        <w:i/>
      </w:rPr>
    </w:lvl>
  </w:abstractNum>
  <w:abstractNum w:abstractNumId="21">
    <w:nsid w:val="5AA47EA6"/>
    <w:multiLevelType w:val="multilevel"/>
    <w:tmpl w:val="C7E67FC0"/>
    <w:lvl w:ilvl="0">
      <w:start w:val="1"/>
      <w:numFmt w:val="decimal"/>
      <w:lvlText w:val="%1."/>
      <w:lvlJc w:val="left"/>
      <w:pPr>
        <w:tabs>
          <w:tab w:val="num" w:pos="720"/>
        </w:tabs>
        <w:ind w:left="720" w:hanging="360"/>
      </w:pPr>
      <w:rPr>
        <w:b w:val="0"/>
        <w:color w:val="auto"/>
      </w:rPr>
    </w:lvl>
    <w:lvl w:ilvl="1">
      <w:start w:val="1"/>
      <w:numFmt w:val="bullet"/>
      <w:lvlText w:val=""/>
      <w:lvlJc w:val="left"/>
      <w:pPr>
        <w:tabs>
          <w:tab w:val="num" w:pos="1440"/>
        </w:tabs>
        <w:ind w:left="1440" w:hanging="360"/>
      </w:pPr>
      <w:rPr>
        <w:rFonts w:ascii="Symbol" w:hAnsi="Symbol" w:hint="default"/>
        <w:b w:val="0"/>
        <w:color w:val="auto"/>
      </w:rPr>
    </w:lvl>
    <w:lvl w:ilvl="2">
      <w:start w:val="9"/>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5AFF3016"/>
    <w:multiLevelType w:val="multilevel"/>
    <w:tmpl w:val="260E562E"/>
    <w:lvl w:ilvl="0">
      <w:start w:val="1"/>
      <w:numFmt w:val="decimal"/>
      <w:lvlText w:val="%1."/>
      <w:lvlJc w:val="left"/>
      <w:pPr>
        <w:tabs>
          <w:tab w:val="num" w:pos="720"/>
        </w:tabs>
        <w:ind w:left="720" w:hanging="360"/>
      </w:pPr>
      <w:rPr>
        <w:color w:val="FF66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E675710"/>
    <w:multiLevelType w:val="singleLevel"/>
    <w:tmpl w:val="A9720498"/>
    <w:lvl w:ilvl="0">
      <w:start w:val="5"/>
      <w:numFmt w:val="decimal"/>
      <w:lvlText w:val="%1."/>
      <w:legacy w:legacy="1" w:legacySpace="0" w:legacyIndent="355"/>
      <w:lvlJc w:val="left"/>
      <w:rPr>
        <w:rFonts w:ascii="Times New Roman" w:hAnsi="Times New Roman" w:cs="Times New Roman" w:hint="default"/>
      </w:rPr>
    </w:lvl>
  </w:abstractNum>
  <w:abstractNum w:abstractNumId="24">
    <w:nsid w:val="60B00044"/>
    <w:multiLevelType w:val="singleLevel"/>
    <w:tmpl w:val="C3FAD58E"/>
    <w:lvl w:ilvl="0">
      <w:start w:val="72"/>
      <w:numFmt w:val="decimal"/>
      <w:lvlText w:val="%1."/>
      <w:legacy w:legacy="1" w:legacySpace="0" w:legacyIndent="562"/>
      <w:lvlJc w:val="left"/>
      <w:rPr>
        <w:rFonts w:ascii="Times New Roman" w:hAnsi="Times New Roman" w:cs="Times New Roman" w:hint="default"/>
      </w:rPr>
    </w:lvl>
  </w:abstractNum>
  <w:abstractNum w:abstractNumId="25">
    <w:nsid w:val="656933F3"/>
    <w:multiLevelType w:val="singleLevel"/>
    <w:tmpl w:val="547A5A26"/>
    <w:lvl w:ilvl="0">
      <w:start w:val="40"/>
      <w:numFmt w:val="decimal"/>
      <w:lvlText w:val="%1."/>
      <w:legacy w:legacy="1" w:legacySpace="0" w:legacyIndent="542"/>
      <w:lvlJc w:val="left"/>
      <w:rPr>
        <w:rFonts w:ascii="Times New Roman" w:hAnsi="Times New Roman" w:cs="Times New Roman" w:hint="default"/>
      </w:rPr>
    </w:lvl>
  </w:abstractNum>
  <w:abstractNum w:abstractNumId="26">
    <w:nsid w:val="666A39A1"/>
    <w:multiLevelType w:val="singleLevel"/>
    <w:tmpl w:val="4872AEDE"/>
    <w:lvl w:ilvl="0">
      <w:start w:val="34"/>
      <w:numFmt w:val="decimal"/>
      <w:lvlText w:val="%1."/>
      <w:legacy w:legacy="1" w:legacySpace="0" w:legacyIndent="485"/>
      <w:lvlJc w:val="left"/>
      <w:rPr>
        <w:rFonts w:ascii="Times New Roman" w:hAnsi="Times New Roman" w:cs="Times New Roman" w:hint="default"/>
      </w:rPr>
    </w:lvl>
  </w:abstractNum>
  <w:abstractNum w:abstractNumId="27">
    <w:nsid w:val="701E0924"/>
    <w:multiLevelType w:val="singleLevel"/>
    <w:tmpl w:val="C5D2B9E6"/>
    <w:lvl w:ilvl="0">
      <w:start w:val="21"/>
      <w:numFmt w:val="decimal"/>
      <w:lvlText w:val="%1."/>
      <w:legacy w:legacy="1" w:legacySpace="0" w:legacyIndent="499"/>
      <w:lvlJc w:val="left"/>
      <w:rPr>
        <w:rFonts w:ascii="Times New Roman" w:hAnsi="Times New Roman" w:cs="Times New Roman" w:hint="default"/>
      </w:rPr>
    </w:lvl>
  </w:abstractNum>
  <w:abstractNum w:abstractNumId="28">
    <w:nsid w:val="720A2D08"/>
    <w:multiLevelType w:val="multilevel"/>
    <w:tmpl w:val="675E13F2"/>
    <w:lvl w:ilvl="0">
      <w:start w:val="1"/>
      <w:numFmt w:val="bullet"/>
      <w:lvlText w:val=""/>
      <w:lvlJc w:val="left"/>
      <w:pPr>
        <w:tabs>
          <w:tab w:val="num" w:pos="454"/>
        </w:tabs>
        <w:ind w:left="454" w:hanging="397"/>
      </w:pPr>
      <w:rPr>
        <w:rFonts w:ascii="Symbol" w:hAnsi="Symbol" w:hint="default"/>
      </w:rPr>
    </w:lvl>
    <w:lvl w:ilvl="1">
      <w:start w:val="1"/>
      <w:numFmt w:val="bullet"/>
      <w:lvlText w:val=""/>
      <w:lvlJc w:val="left"/>
      <w:pPr>
        <w:tabs>
          <w:tab w:val="num" w:pos="454"/>
        </w:tabs>
        <w:ind w:left="454" w:hanging="397"/>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75ED491D"/>
    <w:multiLevelType w:val="singleLevel"/>
    <w:tmpl w:val="38824284"/>
    <w:lvl w:ilvl="0">
      <w:start w:val="47"/>
      <w:numFmt w:val="decimal"/>
      <w:lvlText w:val="%1."/>
      <w:legacy w:legacy="1" w:legacySpace="0" w:legacyIndent="528"/>
      <w:lvlJc w:val="left"/>
      <w:rPr>
        <w:rFonts w:ascii="Times New Roman" w:hAnsi="Times New Roman" w:cs="Times New Roman" w:hint="default"/>
      </w:rPr>
    </w:lvl>
  </w:abstractNum>
  <w:abstractNum w:abstractNumId="30">
    <w:nsid w:val="762E06EB"/>
    <w:multiLevelType w:val="singleLevel"/>
    <w:tmpl w:val="2C7024A8"/>
    <w:lvl w:ilvl="0">
      <w:start w:val="31"/>
      <w:numFmt w:val="decimal"/>
      <w:lvlText w:val="%1."/>
      <w:legacy w:legacy="1" w:legacySpace="0" w:legacyIndent="524"/>
      <w:lvlJc w:val="left"/>
      <w:rPr>
        <w:rFonts w:ascii="Times New Roman" w:hAnsi="Times New Roman" w:cs="Times New Roman" w:hint="default"/>
      </w:rPr>
    </w:lvl>
  </w:abstractNum>
  <w:num w:numId="1">
    <w:abstractNumId w:val="20"/>
  </w:num>
  <w:num w:numId="2">
    <w:abstractNumId w:val="8"/>
    <w:lvlOverride w:ilvl="0">
      <w:startOverride w:val="7"/>
    </w:lvlOverride>
  </w:num>
  <w:num w:numId="3">
    <w:abstractNumId w:val="2"/>
    <w:lvlOverride w:ilvl="0">
      <w:startOverride w:val="10"/>
    </w:lvlOverride>
  </w:num>
  <w:num w:numId="4">
    <w:abstractNumId w:val="14"/>
  </w:num>
  <w:num w:numId="5">
    <w:abstractNumId w:val="15"/>
  </w:num>
  <w:num w:numId="6">
    <w:abstractNumId w:val="23"/>
  </w:num>
  <w:num w:numId="7">
    <w:abstractNumId w:val="18"/>
  </w:num>
  <w:num w:numId="8">
    <w:abstractNumId w:val="11"/>
  </w:num>
  <w:num w:numId="9">
    <w:abstractNumId w:val="17"/>
  </w:num>
  <w:num w:numId="10">
    <w:abstractNumId w:val="1"/>
  </w:num>
  <w:num w:numId="11">
    <w:abstractNumId w:val="27"/>
  </w:num>
  <w:num w:numId="12">
    <w:abstractNumId w:val="6"/>
  </w:num>
  <w:num w:numId="13">
    <w:abstractNumId w:val="30"/>
  </w:num>
  <w:num w:numId="14">
    <w:abstractNumId w:val="26"/>
  </w:num>
  <w:num w:numId="15">
    <w:abstractNumId w:val="5"/>
  </w:num>
  <w:num w:numId="16">
    <w:abstractNumId w:val="25"/>
  </w:num>
  <w:num w:numId="17">
    <w:abstractNumId w:val="29"/>
  </w:num>
  <w:num w:numId="18">
    <w:abstractNumId w:val="9"/>
  </w:num>
  <w:num w:numId="19">
    <w:abstractNumId w:val="24"/>
  </w:num>
  <w:num w:numId="20">
    <w:abstractNumId w:val="7"/>
  </w:num>
  <w:num w:numId="21">
    <w:abstractNumId w:val="4"/>
  </w:num>
  <w:num w:numId="22">
    <w:abstractNumId w:val="13"/>
  </w:num>
  <w:num w:numId="23">
    <w:abstractNumId w:val="3"/>
  </w:num>
  <w:num w:numId="24">
    <w:abstractNumId w:val="16"/>
  </w:num>
  <w:num w:numId="25">
    <w:abstractNumId w:val="22"/>
  </w:num>
  <w:num w:numId="26">
    <w:abstractNumId w:val="28"/>
  </w:num>
  <w:num w:numId="27">
    <w:abstractNumId w:val="12"/>
  </w:num>
  <w:num w:numId="28">
    <w:abstractNumId w:val="0"/>
  </w:num>
  <w:num w:numId="29">
    <w:abstractNumId w:val="21"/>
  </w:num>
  <w:num w:numId="30">
    <w:abstractNumId w:val="10"/>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F03"/>
    <w:rsid w:val="00017CAC"/>
    <w:rsid w:val="002F52D4"/>
    <w:rsid w:val="00365A92"/>
    <w:rsid w:val="004E1738"/>
    <w:rsid w:val="006975C0"/>
    <w:rsid w:val="0087369F"/>
    <w:rsid w:val="008E2F03"/>
    <w:rsid w:val="00D0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738"/>
    <w:pPr>
      <w:spacing w:after="0" w:line="240" w:lineRule="auto"/>
    </w:pPr>
    <w:rPr>
      <w:rFonts w:ascii="Times New Roman" w:eastAsia="Times New Roman" w:hAnsi="Times New Roman" w:cs="Times New Roman"/>
      <w:sz w:val="20"/>
      <w:szCs w:val="20"/>
      <w:lang w:val="ro-RO" w:eastAsia="ro-RO"/>
    </w:rPr>
  </w:style>
  <w:style w:type="paragraph" w:styleId="Heading1">
    <w:name w:val="heading 1"/>
    <w:basedOn w:val="Normal"/>
    <w:next w:val="Normal"/>
    <w:link w:val="Heading1Char"/>
    <w:qFormat/>
    <w:rsid w:val="004E1738"/>
    <w:pPr>
      <w:keepNext/>
      <w:ind w:firstLine="454"/>
      <w:jc w:val="both"/>
      <w:outlineLvl w:val="0"/>
    </w:pPr>
    <w:rPr>
      <w:sz w:val="28"/>
      <w:szCs w:val="28"/>
      <w:lang w:eastAsia="en-US"/>
    </w:rPr>
  </w:style>
  <w:style w:type="paragraph" w:styleId="Heading2">
    <w:name w:val="heading 2"/>
    <w:basedOn w:val="Normal"/>
    <w:next w:val="Normal"/>
    <w:link w:val="Heading2Char"/>
    <w:qFormat/>
    <w:rsid w:val="004E1738"/>
    <w:pPr>
      <w:keepNext/>
      <w:outlineLvl w:val="1"/>
    </w:pPr>
    <w:rPr>
      <w:sz w:val="144"/>
      <w:szCs w:val="144"/>
      <w:lang w:val="en-US" w:eastAsia="en-US"/>
    </w:rPr>
  </w:style>
  <w:style w:type="paragraph" w:styleId="Heading3">
    <w:name w:val="heading 3"/>
    <w:basedOn w:val="Normal"/>
    <w:next w:val="Normal"/>
    <w:link w:val="Heading3Char"/>
    <w:qFormat/>
    <w:rsid w:val="004E1738"/>
    <w:pPr>
      <w:keepNext/>
      <w:snapToGrid w:val="0"/>
      <w:jc w:val="both"/>
      <w:outlineLvl w:val="2"/>
    </w:pPr>
    <w:rPr>
      <w:b/>
      <w:bCs/>
      <w:sz w:val="28"/>
      <w:szCs w:val="28"/>
      <w:lang w:val="hr-HR" w:eastAsia="en-US"/>
    </w:rPr>
  </w:style>
  <w:style w:type="paragraph" w:styleId="Heading4">
    <w:name w:val="heading 4"/>
    <w:basedOn w:val="Normal"/>
    <w:next w:val="Normal"/>
    <w:link w:val="Heading4Char"/>
    <w:qFormat/>
    <w:rsid w:val="004E1738"/>
    <w:pPr>
      <w:keepNext/>
      <w:spacing w:line="360" w:lineRule="auto"/>
      <w:jc w:val="center"/>
      <w:outlineLvl w:val="3"/>
    </w:pPr>
    <w:rPr>
      <w:i/>
      <w:iCs/>
      <w:sz w:val="24"/>
      <w:szCs w:val="24"/>
      <w:lang w:eastAsia="en-US"/>
    </w:rPr>
  </w:style>
  <w:style w:type="paragraph" w:styleId="Heading5">
    <w:name w:val="heading 5"/>
    <w:basedOn w:val="Normal"/>
    <w:next w:val="Normal"/>
    <w:link w:val="Heading5Char"/>
    <w:qFormat/>
    <w:rsid w:val="004E1738"/>
    <w:pPr>
      <w:keepNext/>
      <w:spacing w:line="360" w:lineRule="auto"/>
      <w:ind w:firstLine="454"/>
      <w:jc w:val="both"/>
      <w:outlineLvl w:val="4"/>
    </w:pPr>
    <w:rPr>
      <w:b/>
      <w:bCs/>
      <w:sz w:val="28"/>
      <w:szCs w:val="28"/>
      <w:lang w:eastAsia="en-US"/>
    </w:rPr>
  </w:style>
  <w:style w:type="paragraph" w:styleId="Heading6">
    <w:name w:val="heading 6"/>
    <w:basedOn w:val="Normal"/>
    <w:next w:val="Normal"/>
    <w:link w:val="Heading6Char"/>
    <w:qFormat/>
    <w:rsid w:val="004E1738"/>
    <w:pPr>
      <w:keepNext/>
      <w:spacing w:line="360" w:lineRule="auto"/>
      <w:jc w:val="center"/>
      <w:outlineLvl w:val="5"/>
    </w:pPr>
    <w:rPr>
      <w:sz w:val="24"/>
      <w:szCs w:val="24"/>
      <w:lang w:eastAsia="en-US"/>
    </w:rPr>
  </w:style>
  <w:style w:type="paragraph" w:styleId="Heading7">
    <w:name w:val="heading 7"/>
    <w:basedOn w:val="Normal"/>
    <w:next w:val="Normal"/>
    <w:link w:val="Heading7Char"/>
    <w:qFormat/>
    <w:rsid w:val="004E1738"/>
    <w:pPr>
      <w:keepNext/>
      <w:widowControl w:val="0"/>
      <w:jc w:val="center"/>
      <w:outlineLvl w:val="6"/>
    </w:pPr>
    <w:rPr>
      <w:b/>
      <w:bCs/>
      <w:sz w:val="24"/>
      <w:szCs w:val="24"/>
      <w:lang w:val="hr-HR" w:eastAsia="en-US"/>
    </w:rPr>
  </w:style>
  <w:style w:type="paragraph" w:styleId="Heading8">
    <w:name w:val="heading 8"/>
    <w:basedOn w:val="Normal"/>
    <w:next w:val="Normal"/>
    <w:link w:val="Heading8Char"/>
    <w:qFormat/>
    <w:rsid w:val="004E1738"/>
    <w:pPr>
      <w:keepNext/>
      <w:widowControl w:val="0"/>
      <w:tabs>
        <w:tab w:val="left" w:pos="284"/>
      </w:tabs>
      <w:spacing w:line="289" w:lineRule="exact"/>
      <w:outlineLvl w:val="7"/>
    </w:pPr>
    <w:rPr>
      <w:sz w:val="24"/>
      <w:szCs w:val="24"/>
      <w:lang w:val="hr-HR" w:eastAsia="en-US"/>
    </w:rPr>
  </w:style>
  <w:style w:type="paragraph" w:styleId="Heading9">
    <w:name w:val="heading 9"/>
    <w:basedOn w:val="Normal"/>
    <w:next w:val="Normal"/>
    <w:link w:val="Heading9Char"/>
    <w:qFormat/>
    <w:rsid w:val="004E1738"/>
    <w:pPr>
      <w:keepNext/>
      <w:jc w:val="center"/>
      <w:outlineLvl w:val="8"/>
    </w:pPr>
    <w:rPr>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1738"/>
    <w:rPr>
      <w:rFonts w:ascii="Times New Roman" w:eastAsia="Times New Roman" w:hAnsi="Times New Roman" w:cs="Times New Roman"/>
      <w:sz w:val="28"/>
      <w:szCs w:val="28"/>
      <w:lang w:val="ro-RO"/>
    </w:rPr>
  </w:style>
  <w:style w:type="character" w:customStyle="1" w:styleId="Heading2Char">
    <w:name w:val="Heading 2 Char"/>
    <w:basedOn w:val="DefaultParagraphFont"/>
    <w:link w:val="Heading2"/>
    <w:rsid w:val="004E1738"/>
    <w:rPr>
      <w:rFonts w:ascii="Times New Roman" w:eastAsia="Times New Roman" w:hAnsi="Times New Roman" w:cs="Times New Roman"/>
      <w:sz w:val="144"/>
      <w:szCs w:val="144"/>
    </w:rPr>
  </w:style>
  <w:style w:type="character" w:customStyle="1" w:styleId="Heading3Char">
    <w:name w:val="Heading 3 Char"/>
    <w:basedOn w:val="DefaultParagraphFont"/>
    <w:link w:val="Heading3"/>
    <w:rsid w:val="004E1738"/>
    <w:rPr>
      <w:rFonts w:ascii="Times New Roman" w:eastAsia="Times New Roman" w:hAnsi="Times New Roman" w:cs="Times New Roman"/>
      <w:b/>
      <w:bCs/>
      <w:sz w:val="28"/>
      <w:szCs w:val="28"/>
      <w:lang w:val="hr-HR"/>
    </w:rPr>
  </w:style>
  <w:style w:type="character" w:customStyle="1" w:styleId="Heading4Char">
    <w:name w:val="Heading 4 Char"/>
    <w:basedOn w:val="DefaultParagraphFont"/>
    <w:link w:val="Heading4"/>
    <w:rsid w:val="004E1738"/>
    <w:rPr>
      <w:rFonts w:ascii="Times New Roman" w:eastAsia="Times New Roman" w:hAnsi="Times New Roman" w:cs="Times New Roman"/>
      <w:i/>
      <w:iCs/>
      <w:sz w:val="24"/>
      <w:szCs w:val="24"/>
      <w:lang w:val="ro-RO"/>
    </w:rPr>
  </w:style>
  <w:style w:type="character" w:customStyle="1" w:styleId="Heading5Char">
    <w:name w:val="Heading 5 Char"/>
    <w:basedOn w:val="DefaultParagraphFont"/>
    <w:link w:val="Heading5"/>
    <w:rsid w:val="004E1738"/>
    <w:rPr>
      <w:rFonts w:ascii="Times New Roman" w:eastAsia="Times New Roman" w:hAnsi="Times New Roman" w:cs="Times New Roman"/>
      <w:b/>
      <w:bCs/>
      <w:sz w:val="28"/>
      <w:szCs w:val="28"/>
      <w:lang w:val="ro-RO"/>
    </w:rPr>
  </w:style>
  <w:style w:type="character" w:customStyle="1" w:styleId="Heading6Char">
    <w:name w:val="Heading 6 Char"/>
    <w:basedOn w:val="DefaultParagraphFont"/>
    <w:link w:val="Heading6"/>
    <w:rsid w:val="004E1738"/>
    <w:rPr>
      <w:rFonts w:ascii="Times New Roman" w:eastAsia="Times New Roman" w:hAnsi="Times New Roman" w:cs="Times New Roman"/>
      <w:sz w:val="24"/>
      <w:szCs w:val="24"/>
      <w:lang w:val="ro-RO"/>
    </w:rPr>
  </w:style>
  <w:style w:type="character" w:customStyle="1" w:styleId="Heading7Char">
    <w:name w:val="Heading 7 Char"/>
    <w:basedOn w:val="DefaultParagraphFont"/>
    <w:link w:val="Heading7"/>
    <w:rsid w:val="004E1738"/>
    <w:rPr>
      <w:rFonts w:ascii="Times New Roman" w:eastAsia="Times New Roman" w:hAnsi="Times New Roman" w:cs="Times New Roman"/>
      <w:b/>
      <w:bCs/>
      <w:sz w:val="24"/>
      <w:szCs w:val="24"/>
      <w:lang w:val="hr-HR"/>
    </w:rPr>
  </w:style>
  <w:style w:type="character" w:customStyle="1" w:styleId="Heading8Char">
    <w:name w:val="Heading 8 Char"/>
    <w:basedOn w:val="DefaultParagraphFont"/>
    <w:link w:val="Heading8"/>
    <w:rsid w:val="004E1738"/>
    <w:rPr>
      <w:rFonts w:ascii="Times New Roman" w:eastAsia="Times New Roman" w:hAnsi="Times New Roman" w:cs="Times New Roman"/>
      <w:sz w:val="24"/>
      <w:szCs w:val="24"/>
      <w:lang w:val="hr-HR"/>
    </w:rPr>
  </w:style>
  <w:style w:type="character" w:customStyle="1" w:styleId="Heading9Char">
    <w:name w:val="Heading 9 Char"/>
    <w:basedOn w:val="DefaultParagraphFont"/>
    <w:link w:val="Heading9"/>
    <w:rsid w:val="004E1738"/>
    <w:rPr>
      <w:rFonts w:ascii="Times New Roman" w:eastAsia="Times New Roman" w:hAnsi="Times New Roman" w:cs="Times New Roman"/>
      <w:b/>
      <w:bCs/>
      <w:sz w:val="28"/>
      <w:szCs w:val="28"/>
      <w:lang w:val="ro-RO"/>
    </w:rPr>
  </w:style>
  <w:style w:type="paragraph" w:styleId="BodyTextIndent">
    <w:name w:val="Body Text Indent"/>
    <w:basedOn w:val="Normal"/>
    <w:link w:val="BodyTextIndentChar"/>
    <w:rsid w:val="004E1738"/>
    <w:pPr>
      <w:ind w:firstLine="720"/>
      <w:jc w:val="both"/>
    </w:pPr>
    <w:rPr>
      <w:b/>
      <w:bCs/>
      <w:sz w:val="28"/>
      <w:szCs w:val="28"/>
      <w:lang w:eastAsia="en-US"/>
    </w:rPr>
  </w:style>
  <w:style w:type="character" w:customStyle="1" w:styleId="BodyTextIndentChar">
    <w:name w:val="Body Text Indent Char"/>
    <w:basedOn w:val="DefaultParagraphFont"/>
    <w:link w:val="BodyTextIndent"/>
    <w:rsid w:val="004E1738"/>
    <w:rPr>
      <w:rFonts w:ascii="Times New Roman" w:eastAsia="Times New Roman" w:hAnsi="Times New Roman" w:cs="Times New Roman"/>
      <w:b/>
      <w:bCs/>
      <w:sz w:val="28"/>
      <w:szCs w:val="28"/>
      <w:lang w:val="ro-RO"/>
    </w:rPr>
  </w:style>
  <w:style w:type="paragraph" w:styleId="BodyTextIndent2">
    <w:name w:val="Body Text Indent 2"/>
    <w:basedOn w:val="Normal"/>
    <w:link w:val="BodyTextIndent2Char"/>
    <w:rsid w:val="004E1738"/>
    <w:pPr>
      <w:spacing w:line="360" w:lineRule="auto"/>
      <w:ind w:firstLine="454"/>
      <w:jc w:val="center"/>
    </w:pPr>
    <w:rPr>
      <w:b/>
      <w:bCs/>
      <w:sz w:val="28"/>
      <w:szCs w:val="28"/>
      <w:lang w:eastAsia="en-US"/>
    </w:rPr>
  </w:style>
  <w:style w:type="character" w:customStyle="1" w:styleId="BodyTextIndent2Char">
    <w:name w:val="Body Text Indent 2 Char"/>
    <w:basedOn w:val="DefaultParagraphFont"/>
    <w:link w:val="BodyTextIndent2"/>
    <w:rsid w:val="004E1738"/>
    <w:rPr>
      <w:rFonts w:ascii="Times New Roman" w:eastAsia="Times New Roman" w:hAnsi="Times New Roman" w:cs="Times New Roman"/>
      <w:b/>
      <w:bCs/>
      <w:sz w:val="28"/>
      <w:szCs w:val="28"/>
      <w:lang w:val="ro-RO"/>
    </w:rPr>
  </w:style>
  <w:style w:type="paragraph" w:styleId="Title">
    <w:name w:val="Title"/>
    <w:basedOn w:val="Normal"/>
    <w:link w:val="TitleChar"/>
    <w:qFormat/>
    <w:rsid w:val="004E1738"/>
    <w:pPr>
      <w:ind w:firstLine="720"/>
      <w:jc w:val="center"/>
    </w:pPr>
    <w:rPr>
      <w:sz w:val="28"/>
      <w:szCs w:val="28"/>
      <w:lang w:eastAsia="en-US"/>
    </w:rPr>
  </w:style>
  <w:style w:type="character" w:customStyle="1" w:styleId="TitleChar">
    <w:name w:val="Title Char"/>
    <w:basedOn w:val="DefaultParagraphFont"/>
    <w:link w:val="Title"/>
    <w:rsid w:val="004E1738"/>
    <w:rPr>
      <w:rFonts w:ascii="Times New Roman" w:eastAsia="Times New Roman" w:hAnsi="Times New Roman" w:cs="Times New Roman"/>
      <w:sz w:val="28"/>
      <w:szCs w:val="28"/>
      <w:lang w:val="ro-RO"/>
    </w:rPr>
  </w:style>
  <w:style w:type="character" w:styleId="FootnoteReference">
    <w:name w:val="footnote reference"/>
    <w:rsid w:val="004E1738"/>
    <w:rPr>
      <w:vertAlign w:val="superscript"/>
    </w:rPr>
  </w:style>
  <w:style w:type="paragraph" w:styleId="BodyTextIndent3">
    <w:name w:val="Body Text Indent 3"/>
    <w:basedOn w:val="Normal"/>
    <w:link w:val="BodyTextIndent3Char"/>
    <w:rsid w:val="004E1738"/>
    <w:pPr>
      <w:ind w:firstLine="454"/>
      <w:jc w:val="both"/>
    </w:pPr>
    <w:rPr>
      <w:lang w:eastAsia="en-US"/>
    </w:rPr>
  </w:style>
  <w:style w:type="character" w:customStyle="1" w:styleId="BodyTextIndent3Char">
    <w:name w:val="Body Text Indent 3 Char"/>
    <w:basedOn w:val="DefaultParagraphFont"/>
    <w:link w:val="BodyTextIndent3"/>
    <w:rsid w:val="004E1738"/>
    <w:rPr>
      <w:rFonts w:ascii="Times New Roman" w:eastAsia="Times New Roman" w:hAnsi="Times New Roman" w:cs="Times New Roman"/>
      <w:sz w:val="20"/>
      <w:szCs w:val="20"/>
      <w:lang w:val="ro-RO"/>
    </w:rPr>
  </w:style>
  <w:style w:type="paragraph" w:styleId="BodyText">
    <w:name w:val="Body Text"/>
    <w:basedOn w:val="Normal"/>
    <w:link w:val="BodyTextChar"/>
    <w:rsid w:val="004E1738"/>
    <w:pPr>
      <w:jc w:val="both"/>
    </w:pPr>
    <w:rPr>
      <w:b/>
      <w:bCs/>
      <w:sz w:val="28"/>
      <w:szCs w:val="28"/>
      <w:lang w:eastAsia="en-US"/>
    </w:rPr>
  </w:style>
  <w:style w:type="character" w:customStyle="1" w:styleId="BodyTextChar">
    <w:name w:val="Body Text Char"/>
    <w:basedOn w:val="DefaultParagraphFont"/>
    <w:link w:val="BodyText"/>
    <w:rsid w:val="004E1738"/>
    <w:rPr>
      <w:rFonts w:ascii="Times New Roman" w:eastAsia="Times New Roman" w:hAnsi="Times New Roman" w:cs="Times New Roman"/>
      <w:b/>
      <w:bCs/>
      <w:sz w:val="28"/>
      <w:szCs w:val="28"/>
      <w:lang w:val="ro-RO"/>
    </w:rPr>
  </w:style>
  <w:style w:type="paragraph" w:styleId="FootnoteText">
    <w:name w:val="footnote text"/>
    <w:aliases w:val="Note de bas de page Car Car,Note de bas de page Car Caracter,Note de bas de page Car Caracter Caracter,Note de bas de page Car"/>
    <w:basedOn w:val="Normal"/>
    <w:link w:val="FootnoteTextChar"/>
    <w:rsid w:val="004E1738"/>
    <w:rPr>
      <w:lang w:eastAsia="en-US"/>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4E1738"/>
    <w:rPr>
      <w:rFonts w:ascii="Times New Roman" w:eastAsia="Times New Roman" w:hAnsi="Times New Roman" w:cs="Times New Roman"/>
      <w:sz w:val="20"/>
      <w:szCs w:val="20"/>
      <w:lang w:val="ro-RO"/>
    </w:rPr>
  </w:style>
  <w:style w:type="paragraph" w:styleId="NormalWeb">
    <w:name w:val="Normal (Web)"/>
    <w:basedOn w:val="Normal"/>
    <w:uiPriority w:val="99"/>
    <w:rsid w:val="004E1738"/>
    <w:pPr>
      <w:spacing w:before="100" w:after="100"/>
    </w:pPr>
    <w:rPr>
      <w:sz w:val="24"/>
      <w:szCs w:val="24"/>
      <w:lang w:eastAsia="en-US"/>
    </w:rPr>
  </w:style>
  <w:style w:type="paragraph" w:styleId="BodyText3">
    <w:name w:val="Body Text 3"/>
    <w:basedOn w:val="Normal"/>
    <w:link w:val="BodyText3Char"/>
    <w:rsid w:val="004E1738"/>
    <w:pPr>
      <w:jc w:val="both"/>
    </w:pPr>
    <w:rPr>
      <w:sz w:val="24"/>
      <w:szCs w:val="24"/>
      <w:lang w:eastAsia="en-US"/>
    </w:rPr>
  </w:style>
  <w:style w:type="character" w:customStyle="1" w:styleId="BodyText3Char">
    <w:name w:val="Body Text 3 Char"/>
    <w:basedOn w:val="DefaultParagraphFont"/>
    <w:link w:val="BodyText3"/>
    <w:rsid w:val="004E1738"/>
    <w:rPr>
      <w:rFonts w:ascii="Times New Roman" w:eastAsia="Times New Roman" w:hAnsi="Times New Roman" w:cs="Times New Roman"/>
      <w:sz w:val="24"/>
      <w:szCs w:val="24"/>
      <w:lang w:val="ro-RO"/>
    </w:rPr>
  </w:style>
  <w:style w:type="character" w:styleId="Hyperlink">
    <w:name w:val="Hyperlink"/>
    <w:rsid w:val="004E1738"/>
    <w:rPr>
      <w:color w:val="0000FF"/>
      <w:u w:val="single"/>
    </w:rPr>
  </w:style>
  <w:style w:type="paragraph" w:styleId="Footer">
    <w:name w:val="footer"/>
    <w:basedOn w:val="Normal"/>
    <w:link w:val="FooterChar"/>
    <w:rsid w:val="004E1738"/>
    <w:pPr>
      <w:tabs>
        <w:tab w:val="center" w:pos="4536"/>
        <w:tab w:val="right" w:pos="9072"/>
      </w:tabs>
    </w:pPr>
  </w:style>
  <w:style w:type="character" w:customStyle="1" w:styleId="FooterChar">
    <w:name w:val="Footer Char"/>
    <w:basedOn w:val="DefaultParagraphFont"/>
    <w:link w:val="Footer"/>
    <w:rsid w:val="004E1738"/>
    <w:rPr>
      <w:rFonts w:ascii="Times New Roman" w:eastAsia="Times New Roman" w:hAnsi="Times New Roman" w:cs="Times New Roman"/>
      <w:sz w:val="20"/>
      <w:szCs w:val="20"/>
      <w:lang w:val="ro-RO" w:eastAsia="ro-RO"/>
    </w:rPr>
  </w:style>
  <w:style w:type="character" w:styleId="PageNumber">
    <w:name w:val="page number"/>
    <w:basedOn w:val="DefaultParagraphFont"/>
    <w:rsid w:val="004E1738"/>
  </w:style>
  <w:style w:type="paragraph" w:styleId="Header">
    <w:name w:val="header"/>
    <w:basedOn w:val="Normal"/>
    <w:link w:val="HeaderChar"/>
    <w:uiPriority w:val="99"/>
    <w:rsid w:val="004E1738"/>
    <w:pPr>
      <w:tabs>
        <w:tab w:val="center" w:pos="4320"/>
        <w:tab w:val="right" w:pos="8640"/>
      </w:tabs>
    </w:pPr>
  </w:style>
  <w:style w:type="character" w:customStyle="1" w:styleId="HeaderChar">
    <w:name w:val="Header Char"/>
    <w:basedOn w:val="DefaultParagraphFont"/>
    <w:link w:val="Header"/>
    <w:uiPriority w:val="99"/>
    <w:rsid w:val="004E1738"/>
    <w:rPr>
      <w:rFonts w:ascii="Times New Roman" w:eastAsia="Times New Roman" w:hAnsi="Times New Roman" w:cs="Times New Roman"/>
      <w:sz w:val="20"/>
      <w:szCs w:val="20"/>
      <w:lang w:val="ro-RO" w:eastAsia="ro-RO"/>
    </w:rPr>
  </w:style>
  <w:style w:type="character" w:styleId="FollowedHyperlink">
    <w:name w:val="FollowedHyperlink"/>
    <w:rsid w:val="004E1738"/>
    <w:rPr>
      <w:color w:val="800080"/>
      <w:u w:val="single"/>
    </w:rPr>
  </w:style>
  <w:style w:type="character" w:customStyle="1" w:styleId="hps">
    <w:name w:val="hps"/>
    <w:rsid w:val="004E1738"/>
  </w:style>
  <w:style w:type="character" w:customStyle="1" w:styleId="atn">
    <w:name w:val="atn"/>
    <w:rsid w:val="004E1738"/>
  </w:style>
  <w:style w:type="character" w:styleId="Strong">
    <w:name w:val="Strong"/>
    <w:qFormat/>
    <w:rsid w:val="004E1738"/>
    <w:rPr>
      <w:b/>
      <w:bCs/>
    </w:rPr>
  </w:style>
  <w:style w:type="paragraph" w:styleId="BalloonText">
    <w:name w:val="Balloon Text"/>
    <w:basedOn w:val="Normal"/>
    <w:link w:val="BalloonTextChar"/>
    <w:rsid w:val="004E1738"/>
    <w:rPr>
      <w:rFonts w:ascii="Tahoma" w:hAnsi="Tahoma" w:cs="Tahoma"/>
      <w:sz w:val="16"/>
      <w:szCs w:val="16"/>
    </w:rPr>
  </w:style>
  <w:style w:type="character" w:customStyle="1" w:styleId="BalloonTextChar">
    <w:name w:val="Balloon Text Char"/>
    <w:basedOn w:val="DefaultParagraphFont"/>
    <w:link w:val="BalloonText"/>
    <w:rsid w:val="004E1738"/>
    <w:rPr>
      <w:rFonts w:ascii="Tahoma" w:eastAsia="Times New Roman" w:hAnsi="Tahoma" w:cs="Tahoma"/>
      <w:sz w:val="16"/>
      <w:szCs w:val="16"/>
      <w:lang w:val="ro-RO"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738"/>
    <w:pPr>
      <w:spacing w:after="0" w:line="240" w:lineRule="auto"/>
    </w:pPr>
    <w:rPr>
      <w:rFonts w:ascii="Times New Roman" w:eastAsia="Times New Roman" w:hAnsi="Times New Roman" w:cs="Times New Roman"/>
      <w:sz w:val="20"/>
      <w:szCs w:val="20"/>
      <w:lang w:val="ro-RO" w:eastAsia="ro-RO"/>
    </w:rPr>
  </w:style>
  <w:style w:type="paragraph" w:styleId="Heading1">
    <w:name w:val="heading 1"/>
    <w:basedOn w:val="Normal"/>
    <w:next w:val="Normal"/>
    <w:link w:val="Heading1Char"/>
    <w:qFormat/>
    <w:rsid w:val="004E1738"/>
    <w:pPr>
      <w:keepNext/>
      <w:ind w:firstLine="454"/>
      <w:jc w:val="both"/>
      <w:outlineLvl w:val="0"/>
    </w:pPr>
    <w:rPr>
      <w:sz w:val="28"/>
      <w:szCs w:val="28"/>
      <w:lang w:eastAsia="en-US"/>
    </w:rPr>
  </w:style>
  <w:style w:type="paragraph" w:styleId="Heading2">
    <w:name w:val="heading 2"/>
    <w:basedOn w:val="Normal"/>
    <w:next w:val="Normal"/>
    <w:link w:val="Heading2Char"/>
    <w:qFormat/>
    <w:rsid w:val="004E1738"/>
    <w:pPr>
      <w:keepNext/>
      <w:outlineLvl w:val="1"/>
    </w:pPr>
    <w:rPr>
      <w:sz w:val="144"/>
      <w:szCs w:val="144"/>
      <w:lang w:val="en-US" w:eastAsia="en-US"/>
    </w:rPr>
  </w:style>
  <w:style w:type="paragraph" w:styleId="Heading3">
    <w:name w:val="heading 3"/>
    <w:basedOn w:val="Normal"/>
    <w:next w:val="Normal"/>
    <w:link w:val="Heading3Char"/>
    <w:qFormat/>
    <w:rsid w:val="004E1738"/>
    <w:pPr>
      <w:keepNext/>
      <w:snapToGrid w:val="0"/>
      <w:jc w:val="both"/>
      <w:outlineLvl w:val="2"/>
    </w:pPr>
    <w:rPr>
      <w:b/>
      <w:bCs/>
      <w:sz w:val="28"/>
      <w:szCs w:val="28"/>
      <w:lang w:val="hr-HR" w:eastAsia="en-US"/>
    </w:rPr>
  </w:style>
  <w:style w:type="paragraph" w:styleId="Heading4">
    <w:name w:val="heading 4"/>
    <w:basedOn w:val="Normal"/>
    <w:next w:val="Normal"/>
    <w:link w:val="Heading4Char"/>
    <w:qFormat/>
    <w:rsid w:val="004E1738"/>
    <w:pPr>
      <w:keepNext/>
      <w:spacing w:line="360" w:lineRule="auto"/>
      <w:jc w:val="center"/>
      <w:outlineLvl w:val="3"/>
    </w:pPr>
    <w:rPr>
      <w:i/>
      <w:iCs/>
      <w:sz w:val="24"/>
      <w:szCs w:val="24"/>
      <w:lang w:eastAsia="en-US"/>
    </w:rPr>
  </w:style>
  <w:style w:type="paragraph" w:styleId="Heading5">
    <w:name w:val="heading 5"/>
    <w:basedOn w:val="Normal"/>
    <w:next w:val="Normal"/>
    <w:link w:val="Heading5Char"/>
    <w:qFormat/>
    <w:rsid w:val="004E1738"/>
    <w:pPr>
      <w:keepNext/>
      <w:spacing w:line="360" w:lineRule="auto"/>
      <w:ind w:firstLine="454"/>
      <w:jc w:val="both"/>
      <w:outlineLvl w:val="4"/>
    </w:pPr>
    <w:rPr>
      <w:b/>
      <w:bCs/>
      <w:sz w:val="28"/>
      <w:szCs w:val="28"/>
      <w:lang w:eastAsia="en-US"/>
    </w:rPr>
  </w:style>
  <w:style w:type="paragraph" w:styleId="Heading6">
    <w:name w:val="heading 6"/>
    <w:basedOn w:val="Normal"/>
    <w:next w:val="Normal"/>
    <w:link w:val="Heading6Char"/>
    <w:qFormat/>
    <w:rsid w:val="004E1738"/>
    <w:pPr>
      <w:keepNext/>
      <w:spacing w:line="360" w:lineRule="auto"/>
      <w:jc w:val="center"/>
      <w:outlineLvl w:val="5"/>
    </w:pPr>
    <w:rPr>
      <w:sz w:val="24"/>
      <w:szCs w:val="24"/>
      <w:lang w:eastAsia="en-US"/>
    </w:rPr>
  </w:style>
  <w:style w:type="paragraph" w:styleId="Heading7">
    <w:name w:val="heading 7"/>
    <w:basedOn w:val="Normal"/>
    <w:next w:val="Normal"/>
    <w:link w:val="Heading7Char"/>
    <w:qFormat/>
    <w:rsid w:val="004E1738"/>
    <w:pPr>
      <w:keepNext/>
      <w:widowControl w:val="0"/>
      <w:jc w:val="center"/>
      <w:outlineLvl w:val="6"/>
    </w:pPr>
    <w:rPr>
      <w:b/>
      <w:bCs/>
      <w:sz w:val="24"/>
      <w:szCs w:val="24"/>
      <w:lang w:val="hr-HR" w:eastAsia="en-US"/>
    </w:rPr>
  </w:style>
  <w:style w:type="paragraph" w:styleId="Heading8">
    <w:name w:val="heading 8"/>
    <w:basedOn w:val="Normal"/>
    <w:next w:val="Normal"/>
    <w:link w:val="Heading8Char"/>
    <w:qFormat/>
    <w:rsid w:val="004E1738"/>
    <w:pPr>
      <w:keepNext/>
      <w:widowControl w:val="0"/>
      <w:tabs>
        <w:tab w:val="left" w:pos="284"/>
      </w:tabs>
      <w:spacing w:line="289" w:lineRule="exact"/>
      <w:outlineLvl w:val="7"/>
    </w:pPr>
    <w:rPr>
      <w:sz w:val="24"/>
      <w:szCs w:val="24"/>
      <w:lang w:val="hr-HR" w:eastAsia="en-US"/>
    </w:rPr>
  </w:style>
  <w:style w:type="paragraph" w:styleId="Heading9">
    <w:name w:val="heading 9"/>
    <w:basedOn w:val="Normal"/>
    <w:next w:val="Normal"/>
    <w:link w:val="Heading9Char"/>
    <w:qFormat/>
    <w:rsid w:val="004E1738"/>
    <w:pPr>
      <w:keepNext/>
      <w:jc w:val="center"/>
      <w:outlineLvl w:val="8"/>
    </w:pPr>
    <w:rPr>
      <w:b/>
      <w:b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1738"/>
    <w:rPr>
      <w:rFonts w:ascii="Times New Roman" w:eastAsia="Times New Roman" w:hAnsi="Times New Roman" w:cs="Times New Roman"/>
      <w:sz w:val="28"/>
      <w:szCs w:val="28"/>
      <w:lang w:val="ro-RO"/>
    </w:rPr>
  </w:style>
  <w:style w:type="character" w:customStyle="1" w:styleId="Heading2Char">
    <w:name w:val="Heading 2 Char"/>
    <w:basedOn w:val="DefaultParagraphFont"/>
    <w:link w:val="Heading2"/>
    <w:rsid w:val="004E1738"/>
    <w:rPr>
      <w:rFonts w:ascii="Times New Roman" w:eastAsia="Times New Roman" w:hAnsi="Times New Roman" w:cs="Times New Roman"/>
      <w:sz w:val="144"/>
      <w:szCs w:val="144"/>
    </w:rPr>
  </w:style>
  <w:style w:type="character" w:customStyle="1" w:styleId="Heading3Char">
    <w:name w:val="Heading 3 Char"/>
    <w:basedOn w:val="DefaultParagraphFont"/>
    <w:link w:val="Heading3"/>
    <w:rsid w:val="004E1738"/>
    <w:rPr>
      <w:rFonts w:ascii="Times New Roman" w:eastAsia="Times New Roman" w:hAnsi="Times New Roman" w:cs="Times New Roman"/>
      <w:b/>
      <w:bCs/>
      <w:sz w:val="28"/>
      <w:szCs w:val="28"/>
      <w:lang w:val="hr-HR"/>
    </w:rPr>
  </w:style>
  <w:style w:type="character" w:customStyle="1" w:styleId="Heading4Char">
    <w:name w:val="Heading 4 Char"/>
    <w:basedOn w:val="DefaultParagraphFont"/>
    <w:link w:val="Heading4"/>
    <w:rsid w:val="004E1738"/>
    <w:rPr>
      <w:rFonts w:ascii="Times New Roman" w:eastAsia="Times New Roman" w:hAnsi="Times New Roman" w:cs="Times New Roman"/>
      <w:i/>
      <w:iCs/>
      <w:sz w:val="24"/>
      <w:szCs w:val="24"/>
      <w:lang w:val="ro-RO"/>
    </w:rPr>
  </w:style>
  <w:style w:type="character" w:customStyle="1" w:styleId="Heading5Char">
    <w:name w:val="Heading 5 Char"/>
    <w:basedOn w:val="DefaultParagraphFont"/>
    <w:link w:val="Heading5"/>
    <w:rsid w:val="004E1738"/>
    <w:rPr>
      <w:rFonts w:ascii="Times New Roman" w:eastAsia="Times New Roman" w:hAnsi="Times New Roman" w:cs="Times New Roman"/>
      <w:b/>
      <w:bCs/>
      <w:sz w:val="28"/>
      <w:szCs w:val="28"/>
      <w:lang w:val="ro-RO"/>
    </w:rPr>
  </w:style>
  <w:style w:type="character" w:customStyle="1" w:styleId="Heading6Char">
    <w:name w:val="Heading 6 Char"/>
    <w:basedOn w:val="DefaultParagraphFont"/>
    <w:link w:val="Heading6"/>
    <w:rsid w:val="004E1738"/>
    <w:rPr>
      <w:rFonts w:ascii="Times New Roman" w:eastAsia="Times New Roman" w:hAnsi="Times New Roman" w:cs="Times New Roman"/>
      <w:sz w:val="24"/>
      <w:szCs w:val="24"/>
      <w:lang w:val="ro-RO"/>
    </w:rPr>
  </w:style>
  <w:style w:type="character" w:customStyle="1" w:styleId="Heading7Char">
    <w:name w:val="Heading 7 Char"/>
    <w:basedOn w:val="DefaultParagraphFont"/>
    <w:link w:val="Heading7"/>
    <w:rsid w:val="004E1738"/>
    <w:rPr>
      <w:rFonts w:ascii="Times New Roman" w:eastAsia="Times New Roman" w:hAnsi="Times New Roman" w:cs="Times New Roman"/>
      <w:b/>
      <w:bCs/>
      <w:sz w:val="24"/>
      <w:szCs w:val="24"/>
      <w:lang w:val="hr-HR"/>
    </w:rPr>
  </w:style>
  <w:style w:type="character" w:customStyle="1" w:styleId="Heading8Char">
    <w:name w:val="Heading 8 Char"/>
    <w:basedOn w:val="DefaultParagraphFont"/>
    <w:link w:val="Heading8"/>
    <w:rsid w:val="004E1738"/>
    <w:rPr>
      <w:rFonts w:ascii="Times New Roman" w:eastAsia="Times New Roman" w:hAnsi="Times New Roman" w:cs="Times New Roman"/>
      <w:sz w:val="24"/>
      <w:szCs w:val="24"/>
      <w:lang w:val="hr-HR"/>
    </w:rPr>
  </w:style>
  <w:style w:type="character" w:customStyle="1" w:styleId="Heading9Char">
    <w:name w:val="Heading 9 Char"/>
    <w:basedOn w:val="DefaultParagraphFont"/>
    <w:link w:val="Heading9"/>
    <w:rsid w:val="004E1738"/>
    <w:rPr>
      <w:rFonts w:ascii="Times New Roman" w:eastAsia="Times New Roman" w:hAnsi="Times New Roman" w:cs="Times New Roman"/>
      <w:b/>
      <w:bCs/>
      <w:sz w:val="28"/>
      <w:szCs w:val="28"/>
      <w:lang w:val="ro-RO"/>
    </w:rPr>
  </w:style>
  <w:style w:type="paragraph" w:styleId="BodyTextIndent">
    <w:name w:val="Body Text Indent"/>
    <w:basedOn w:val="Normal"/>
    <w:link w:val="BodyTextIndentChar"/>
    <w:rsid w:val="004E1738"/>
    <w:pPr>
      <w:ind w:firstLine="720"/>
      <w:jc w:val="both"/>
    </w:pPr>
    <w:rPr>
      <w:b/>
      <w:bCs/>
      <w:sz w:val="28"/>
      <w:szCs w:val="28"/>
      <w:lang w:eastAsia="en-US"/>
    </w:rPr>
  </w:style>
  <w:style w:type="character" w:customStyle="1" w:styleId="BodyTextIndentChar">
    <w:name w:val="Body Text Indent Char"/>
    <w:basedOn w:val="DefaultParagraphFont"/>
    <w:link w:val="BodyTextIndent"/>
    <w:rsid w:val="004E1738"/>
    <w:rPr>
      <w:rFonts w:ascii="Times New Roman" w:eastAsia="Times New Roman" w:hAnsi="Times New Roman" w:cs="Times New Roman"/>
      <w:b/>
      <w:bCs/>
      <w:sz w:val="28"/>
      <w:szCs w:val="28"/>
      <w:lang w:val="ro-RO"/>
    </w:rPr>
  </w:style>
  <w:style w:type="paragraph" w:styleId="BodyTextIndent2">
    <w:name w:val="Body Text Indent 2"/>
    <w:basedOn w:val="Normal"/>
    <w:link w:val="BodyTextIndent2Char"/>
    <w:rsid w:val="004E1738"/>
    <w:pPr>
      <w:spacing w:line="360" w:lineRule="auto"/>
      <w:ind w:firstLine="454"/>
      <w:jc w:val="center"/>
    </w:pPr>
    <w:rPr>
      <w:b/>
      <w:bCs/>
      <w:sz w:val="28"/>
      <w:szCs w:val="28"/>
      <w:lang w:eastAsia="en-US"/>
    </w:rPr>
  </w:style>
  <w:style w:type="character" w:customStyle="1" w:styleId="BodyTextIndent2Char">
    <w:name w:val="Body Text Indent 2 Char"/>
    <w:basedOn w:val="DefaultParagraphFont"/>
    <w:link w:val="BodyTextIndent2"/>
    <w:rsid w:val="004E1738"/>
    <w:rPr>
      <w:rFonts w:ascii="Times New Roman" w:eastAsia="Times New Roman" w:hAnsi="Times New Roman" w:cs="Times New Roman"/>
      <w:b/>
      <w:bCs/>
      <w:sz w:val="28"/>
      <w:szCs w:val="28"/>
      <w:lang w:val="ro-RO"/>
    </w:rPr>
  </w:style>
  <w:style w:type="paragraph" w:styleId="Title">
    <w:name w:val="Title"/>
    <w:basedOn w:val="Normal"/>
    <w:link w:val="TitleChar"/>
    <w:qFormat/>
    <w:rsid w:val="004E1738"/>
    <w:pPr>
      <w:ind w:firstLine="720"/>
      <w:jc w:val="center"/>
    </w:pPr>
    <w:rPr>
      <w:sz w:val="28"/>
      <w:szCs w:val="28"/>
      <w:lang w:eastAsia="en-US"/>
    </w:rPr>
  </w:style>
  <w:style w:type="character" w:customStyle="1" w:styleId="TitleChar">
    <w:name w:val="Title Char"/>
    <w:basedOn w:val="DefaultParagraphFont"/>
    <w:link w:val="Title"/>
    <w:rsid w:val="004E1738"/>
    <w:rPr>
      <w:rFonts w:ascii="Times New Roman" w:eastAsia="Times New Roman" w:hAnsi="Times New Roman" w:cs="Times New Roman"/>
      <w:sz w:val="28"/>
      <w:szCs w:val="28"/>
      <w:lang w:val="ro-RO"/>
    </w:rPr>
  </w:style>
  <w:style w:type="character" w:styleId="FootnoteReference">
    <w:name w:val="footnote reference"/>
    <w:rsid w:val="004E1738"/>
    <w:rPr>
      <w:vertAlign w:val="superscript"/>
    </w:rPr>
  </w:style>
  <w:style w:type="paragraph" w:styleId="BodyTextIndent3">
    <w:name w:val="Body Text Indent 3"/>
    <w:basedOn w:val="Normal"/>
    <w:link w:val="BodyTextIndent3Char"/>
    <w:rsid w:val="004E1738"/>
    <w:pPr>
      <w:ind w:firstLine="454"/>
      <w:jc w:val="both"/>
    </w:pPr>
    <w:rPr>
      <w:lang w:eastAsia="en-US"/>
    </w:rPr>
  </w:style>
  <w:style w:type="character" w:customStyle="1" w:styleId="BodyTextIndent3Char">
    <w:name w:val="Body Text Indent 3 Char"/>
    <w:basedOn w:val="DefaultParagraphFont"/>
    <w:link w:val="BodyTextIndent3"/>
    <w:rsid w:val="004E1738"/>
    <w:rPr>
      <w:rFonts w:ascii="Times New Roman" w:eastAsia="Times New Roman" w:hAnsi="Times New Roman" w:cs="Times New Roman"/>
      <w:sz w:val="20"/>
      <w:szCs w:val="20"/>
      <w:lang w:val="ro-RO"/>
    </w:rPr>
  </w:style>
  <w:style w:type="paragraph" w:styleId="BodyText">
    <w:name w:val="Body Text"/>
    <w:basedOn w:val="Normal"/>
    <w:link w:val="BodyTextChar"/>
    <w:rsid w:val="004E1738"/>
    <w:pPr>
      <w:jc w:val="both"/>
    </w:pPr>
    <w:rPr>
      <w:b/>
      <w:bCs/>
      <w:sz w:val="28"/>
      <w:szCs w:val="28"/>
      <w:lang w:eastAsia="en-US"/>
    </w:rPr>
  </w:style>
  <w:style w:type="character" w:customStyle="1" w:styleId="BodyTextChar">
    <w:name w:val="Body Text Char"/>
    <w:basedOn w:val="DefaultParagraphFont"/>
    <w:link w:val="BodyText"/>
    <w:rsid w:val="004E1738"/>
    <w:rPr>
      <w:rFonts w:ascii="Times New Roman" w:eastAsia="Times New Roman" w:hAnsi="Times New Roman" w:cs="Times New Roman"/>
      <w:b/>
      <w:bCs/>
      <w:sz w:val="28"/>
      <w:szCs w:val="28"/>
      <w:lang w:val="ro-RO"/>
    </w:rPr>
  </w:style>
  <w:style w:type="paragraph" w:styleId="FootnoteText">
    <w:name w:val="footnote text"/>
    <w:aliases w:val="Note de bas de page Car Car,Note de bas de page Car Caracter,Note de bas de page Car Caracter Caracter,Note de bas de page Car"/>
    <w:basedOn w:val="Normal"/>
    <w:link w:val="FootnoteTextChar"/>
    <w:rsid w:val="004E1738"/>
    <w:rPr>
      <w:lang w:eastAsia="en-US"/>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4E1738"/>
    <w:rPr>
      <w:rFonts w:ascii="Times New Roman" w:eastAsia="Times New Roman" w:hAnsi="Times New Roman" w:cs="Times New Roman"/>
      <w:sz w:val="20"/>
      <w:szCs w:val="20"/>
      <w:lang w:val="ro-RO"/>
    </w:rPr>
  </w:style>
  <w:style w:type="paragraph" w:styleId="NormalWeb">
    <w:name w:val="Normal (Web)"/>
    <w:basedOn w:val="Normal"/>
    <w:uiPriority w:val="99"/>
    <w:rsid w:val="004E1738"/>
    <w:pPr>
      <w:spacing w:before="100" w:after="100"/>
    </w:pPr>
    <w:rPr>
      <w:sz w:val="24"/>
      <w:szCs w:val="24"/>
      <w:lang w:eastAsia="en-US"/>
    </w:rPr>
  </w:style>
  <w:style w:type="paragraph" w:styleId="BodyText3">
    <w:name w:val="Body Text 3"/>
    <w:basedOn w:val="Normal"/>
    <w:link w:val="BodyText3Char"/>
    <w:rsid w:val="004E1738"/>
    <w:pPr>
      <w:jc w:val="both"/>
    </w:pPr>
    <w:rPr>
      <w:sz w:val="24"/>
      <w:szCs w:val="24"/>
      <w:lang w:eastAsia="en-US"/>
    </w:rPr>
  </w:style>
  <w:style w:type="character" w:customStyle="1" w:styleId="BodyText3Char">
    <w:name w:val="Body Text 3 Char"/>
    <w:basedOn w:val="DefaultParagraphFont"/>
    <w:link w:val="BodyText3"/>
    <w:rsid w:val="004E1738"/>
    <w:rPr>
      <w:rFonts w:ascii="Times New Roman" w:eastAsia="Times New Roman" w:hAnsi="Times New Roman" w:cs="Times New Roman"/>
      <w:sz w:val="24"/>
      <w:szCs w:val="24"/>
      <w:lang w:val="ro-RO"/>
    </w:rPr>
  </w:style>
  <w:style w:type="character" w:styleId="Hyperlink">
    <w:name w:val="Hyperlink"/>
    <w:rsid w:val="004E1738"/>
    <w:rPr>
      <w:color w:val="0000FF"/>
      <w:u w:val="single"/>
    </w:rPr>
  </w:style>
  <w:style w:type="paragraph" w:styleId="Footer">
    <w:name w:val="footer"/>
    <w:basedOn w:val="Normal"/>
    <w:link w:val="FooterChar"/>
    <w:rsid w:val="004E1738"/>
    <w:pPr>
      <w:tabs>
        <w:tab w:val="center" w:pos="4536"/>
        <w:tab w:val="right" w:pos="9072"/>
      </w:tabs>
    </w:pPr>
  </w:style>
  <w:style w:type="character" w:customStyle="1" w:styleId="FooterChar">
    <w:name w:val="Footer Char"/>
    <w:basedOn w:val="DefaultParagraphFont"/>
    <w:link w:val="Footer"/>
    <w:rsid w:val="004E1738"/>
    <w:rPr>
      <w:rFonts w:ascii="Times New Roman" w:eastAsia="Times New Roman" w:hAnsi="Times New Roman" w:cs="Times New Roman"/>
      <w:sz w:val="20"/>
      <w:szCs w:val="20"/>
      <w:lang w:val="ro-RO" w:eastAsia="ro-RO"/>
    </w:rPr>
  </w:style>
  <w:style w:type="character" w:styleId="PageNumber">
    <w:name w:val="page number"/>
    <w:basedOn w:val="DefaultParagraphFont"/>
    <w:rsid w:val="004E1738"/>
  </w:style>
  <w:style w:type="paragraph" w:styleId="Header">
    <w:name w:val="header"/>
    <w:basedOn w:val="Normal"/>
    <w:link w:val="HeaderChar"/>
    <w:uiPriority w:val="99"/>
    <w:rsid w:val="004E1738"/>
    <w:pPr>
      <w:tabs>
        <w:tab w:val="center" w:pos="4320"/>
        <w:tab w:val="right" w:pos="8640"/>
      </w:tabs>
    </w:pPr>
  </w:style>
  <w:style w:type="character" w:customStyle="1" w:styleId="HeaderChar">
    <w:name w:val="Header Char"/>
    <w:basedOn w:val="DefaultParagraphFont"/>
    <w:link w:val="Header"/>
    <w:uiPriority w:val="99"/>
    <w:rsid w:val="004E1738"/>
    <w:rPr>
      <w:rFonts w:ascii="Times New Roman" w:eastAsia="Times New Roman" w:hAnsi="Times New Roman" w:cs="Times New Roman"/>
      <w:sz w:val="20"/>
      <w:szCs w:val="20"/>
      <w:lang w:val="ro-RO" w:eastAsia="ro-RO"/>
    </w:rPr>
  </w:style>
  <w:style w:type="character" w:styleId="FollowedHyperlink">
    <w:name w:val="FollowedHyperlink"/>
    <w:rsid w:val="004E1738"/>
    <w:rPr>
      <w:color w:val="800080"/>
      <w:u w:val="single"/>
    </w:rPr>
  </w:style>
  <w:style w:type="character" w:customStyle="1" w:styleId="hps">
    <w:name w:val="hps"/>
    <w:rsid w:val="004E1738"/>
  </w:style>
  <w:style w:type="character" w:customStyle="1" w:styleId="atn">
    <w:name w:val="atn"/>
    <w:rsid w:val="004E1738"/>
  </w:style>
  <w:style w:type="character" w:styleId="Strong">
    <w:name w:val="Strong"/>
    <w:qFormat/>
    <w:rsid w:val="004E1738"/>
    <w:rPr>
      <w:b/>
      <w:bCs/>
    </w:rPr>
  </w:style>
  <w:style w:type="paragraph" w:styleId="BalloonText">
    <w:name w:val="Balloon Text"/>
    <w:basedOn w:val="Normal"/>
    <w:link w:val="BalloonTextChar"/>
    <w:rsid w:val="004E1738"/>
    <w:rPr>
      <w:rFonts w:ascii="Tahoma" w:hAnsi="Tahoma" w:cs="Tahoma"/>
      <w:sz w:val="16"/>
      <w:szCs w:val="16"/>
    </w:rPr>
  </w:style>
  <w:style w:type="character" w:customStyle="1" w:styleId="BalloonTextChar">
    <w:name w:val="Balloon Text Char"/>
    <w:basedOn w:val="DefaultParagraphFont"/>
    <w:link w:val="BalloonText"/>
    <w:rsid w:val="004E1738"/>
    <w:rPr>
      <w:rFonts w:ascii="Tahoma" w:eastAsia="Times New Roman" w:hAnsi="Tahoma" w:cs="Tahoma"/>
      <w:sz w:val="16"/>
      <w:szCs w:val="16"/>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5797</Words>
  <Characters>33044</Characters>
  <Application>Microsoft Office Word</Application>
  <DocSecurity>0</DocSecurity>
  <Lines>275</Lines>
  <Paragraphs>77</Paragraphs>
  <ScaleCrop>false</ScaleCrop>
  <Company/>
  <LinksUpToDate>false</LinksUpToDate>
  <CharactersWithSpaces>38764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2020-04-07T05:27:00Z</dcterms:created>
  <dcterms:modified xsi:type="dcterms:W3CDTF">2020-04-07T05:32:00Z</dcterms:modified>
</cp:coreProperties>
</file>