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17E1" w:rsidRPr="002B17E1" w:rsidRDefault="002B17E1" w:rsidP="002B17E1">
      <w:pPr>
        <w:ind w:left="-450" w:right="-630"/>
        <w:jc w:val="both"/>
        <w:rPr>
          <w:b/>
        </w:rPr>
      </w:pPr>
    </w:p>
    <w:p w:rsidR="002B17E1" w:rsidRPr="002B17E1" w:rsidRDefault="002B17E1" w:rsidP="002B17E1">
      <w:pPr>
        <w:ind w:left="-450" w:right="-630"/>
        <w:jc w:val="both"/>
        <w:rPr>
          <w:i/>
          <w:lang w:val="ro-RO"/>
        </w:rPr>
      </w:pPr>
      <w:r>
        <w:rPr>
          <w:b/>
        </w:rPr>
        <w:t xml:space="preserve"> </w:t>
      </w:r>
      <w:r w:rsidRPr="002B17E1">
        <w:t xml:space="preserve"> </w:t>
      </w:r>
      <w:r w:rsidRPr="002B17E1">
        <w:rPr>
          <w:i/>
          <w:lang w:val="ro-RO"/>
        </w:rPr>
        <w:t xml:space="preserve">Teologia Sfântului Duh şi </w:t>
      </w:r>
      <w:r w:rsidRPr="002B17E1">
        <w:rPr>
          <w:i/>
        </w:rPr>
        <w:t xml:space="preserve"> intimitatea omului duhovnicesc cu Duhul Sfânt</w:t>
      </w:r>
    </w:p>
    <w:p w:rsidR="002B17E1" w:rsidRPr="002B17E1" w:rsidRDefault="002B17E1" w:rsidP="002B17E1">
      <w:pPr>
        <w:ind w:left="-450" w:right="-630"/>
        <w:jc w:val="both"/>
        <w:rPr>
          <w:i/>
          <w:lang w:val="ro-RO"/>
        </w:rPr>
      </w:pPr>
    </w:p>
    <w:p w:rsidR="002B17E1" w:rsidRPr="002B17E1" w:rsidRDefault="002B17E1" w:rsidP="002B17E1">
      <w:pPr>
        <w:ind w:left="-450" w:right="-630"/>
        <w:jc w:val="both"/>
        <w:rPr>
          <w:lang w:val="ro-RO"/>
        </w:rPr>
      </w:pPr>
      <w:r w:rsidRPr="002B17E1">
        <w:rPr>
          <w:lang w:val="ro-RO"/>
        </w:rPr>
        <w:tab/>
        <w:t xml:space="preserve"> „Datorită implicaţiilor sale misionare şi sacramentale, pnevmatologia - teologia Sfântului Duh -  devine îndată cea mai relevantă secţiune a teologiei. Ea impune Bisericii o atitudine de smerenie, care trebuie să lase loc Duhului pentru a sufla acolo unde voieşte.</w:t>
      </w:r>
    </w:p>
    <w:p w:rsidR="002B17E1" w:rsidRPr="002B17E1" w:rsidRDefault="002B17E1" w:rsidP="002B17E1">
      <w:pPr>
        <w:ind w:left="-450" w:right="-630"/>
        <w:jc w:val="both"/>
        <w:rPr>
          <w:lang w:val="ro-RO"/>
        </w:rPr>
      </w:pPr>
      <w:r w:rsidRPr="002B17E1">
        <w:rPr>
          <w:lang w:val="ro-RO"/>
        </w:rPr>
        <w:tab/>
        <w:t xml:space="preserve">Unul dintre cele mai importante aspecte ale eclesiologiei îl reprezintă </w:t>
      </w:r>
      <w:r w:rsidRPr="002B17E1">
        <w:rPr>
          <w:i/>
          <w:iCs/>
          <w:lang w:val="ro-RO"/>
        </w:rPr>
        <w:t>epiklesis</w:t>
      </w:r>
      <w:r w:rsidRPr="002B17E1">
        <w:rPr>
          <w:rStyle w:val="FootnoteReference"/>
          <w:iCs/>
          <w:lang w:val="ro-RO"/>
        </w:rPr>
        <w:footnoteReference w:id="2"/>
      </w:r>
      <w:r w:rsidRPr="002B17E1">
        <w:rPr>
          <w:lang w:val="ro-RO"/>
        </w:rPr>
        <w:t xml:space="preserve"> sau invocarea Sfântului Duh. Sfântul Duh este făgăduit în mod explicit atunci când Biserica oferă pâine şi vin spre a fi sfinţite. Există un moment în Liturghie, în care rugăciunile şi darurile comunităţii îşi ating scopul prin preot. Amintind de Crucea şi de Învierea lui Hristos, preotul lasă totul în mâna lui Dumnezeu, Fiul şi Duhul Sfânt. Doar Duhul poate transforma substanţa elementelor şi vieţile celor care participă. Biserica poate celebra Euharistia doar pentru că este chemat Duhul Sfânt să facă ceea ce ea nu poate face. Duhul nu încetează niciodată să transforme pâinea noastră cea de toate zilele în pâinea veşniciei.</w:t>
      </w:r>
    </w:p>
    <w:p w:rsidR="002B17E1" w:rsidRPr="002B17E1" w:rsidRDefault="002B17E1" w:rsidP="002B17E1">
      <w:pPr>
        <w:ind w:left="-450" w:right="-630"/>
        <w:jc w:val="both"/>
        <w:rPr>
          <w:lang w:val="ro-RO"/>
        </w:rPr>
      </w:pPr>
      <w:r w:rsidRPr="002B17E1">
        <w:rPr>
          <w:lang w:val="ro-RO"/>
        </w:rPr>
        <w:tab/>
        <w:t>Sfântul Duh garantează, de asemenea, puterea de a discerne şi de a mărturisi adevărul în momente de disperare şi de criză. Creştinii sunt următori ai cuvântului lui Iisus: «</w:t>
      </w:r>
      <w:r w:rsidRPr="002B17E1">
        <w:rPr>
          <w:i/>
          <w:lang w:val="ro-RO"/>
        </w:rPr>
        <w:t>Dacă veţi rămâne în cuvântul Meu, sunteţi cu adevărat ucenici ai Mei; Şi veţi cunoaşte adevărul, iar adevărul vă va face liberi</w:t>
      </w:r>
      <w:r w:rsidRPr="002B17E1">
        <w:rPr>
          <w:lang w:val="ro-RO"/>
        </w:rPr>
        <w:t>» (In 8, 31-32). Duhul nu doar îi descoperă Revelaţia fiecărei persoane, ci ne dă şi puterea şi înţelepciunea de a apăra adevărul acelei Revelaţii fie în mod deschis, fie în taină. Aceia care-L urmează pe Iisus Hristos pe tot parcusul drumului către Cruce sunt sub protecţia Sfântului Duh, Mângâietorul şi Îndrumătorul martirilor şi mărturisitorilor”</w:t>
      </w:r>
      <w:r w:rsidRPr="002B17E1">
        <w:rPr>
          <w:rStyle w:val="FootnoteReference"/>
          <w:lang w:val="ro-RO"/>
        </w:rPr>
        <w:footnoteReference w:id="3"/>
      </w:r>
      <w:r w:rsidRPr="002B17E1">
        <w:rPr>
          <w:lang w:val="ro-RO"/>
        </w:rPr>
        <w:t>.</w:t>
      </w:r>
    </w:p>
    <w:p w:rsidR="002B17E1" w:rsidRPr="002B17E1" w:rsidRDefault="002B17E1" w:rsidP="002B17E1">
      <w:pPr>
        <w:ind w:left="-450" w:right="-630"/>
        <w:jc w:val="both"/>
      </w:pPr>
      <w:r w:rsidRPr="002B17E1">
        <w:rPr>
          <w:lang w:val="ro-RO"/>
        </w:rPr>
        <w:tab/>
        <w:t xml:space="preserve">Părintele Bria ne vorbea, cu referire la opera părintelui Stăniloae, şi despre intimitatea omului cu Duhul Sfânt, despre potenţarea libertăţii, spontaneităţii şi originalităţii umane de către Domnul de viaţă Făcător, omul putând să-L „surprindă” pe Mântuitorul, aşa cum a făcut centurionul roman. </w:t>
      </w:r>
      <w:r w:rsidRPr="002B17E1">
        <w:t xml:space="preserve">Pentru a sublinia intimitatea la care ajunge omul duhovnicesc cu Duhul Sfânt, intimitate ce reprezintă sursa cunoaşterii nemijlocite a Sfintei Treimi, părintele Stăniloae scria: </w:t>
      </w:r>
    </w:p>
    <w:p w:rsidR="002B17E1" w:rsidRPr="002B17E1" w:rsidRDefault="002B17E1" w:rsidP="002B17E1">
      <w:pPr>
        <w:pStyle w:val="BodyText"/>
        <w:spacing w:after="0"/>
        <w:ind w:left="-450" w:right="-630" w:firstLine="567"/>
        <w:jc w:val="both"/>
      </w:pPr>
      <w:r w:rsidRPr="002B17E1">
        <w:t xml:space="preserve">“Începe o chenoză a Duhului, Care Se coboară la nivelul nostru, pentru a ne ridica la nivelul de parteneri ai lui Hristos. El nu e un ipostas cu natură umană deosebită, deci </w:t>
      </w:r>
      <w:r w:rsidRPr="002B17E1">
        <w:rPr>
          <w:spacing w:val="2"/>
        </w:rPr>
        <w:t>nu e întrupat asemenea nouă, cum e întrupat Hristos, şi de aceea nimic nu-</w:t>
      </w:r>
      <w:r w:rsidRPr="002B17E1">
        <w:t>L împiedică să Se infuzeze ca Ipostas al ipostazelor noastre, devenind un fel de Ipostas al persoanelor noastre. Iar aceasta ni-L face cu atât mai intim. Hristos rămâne mereu partenerul nostru cu care vorbim, pe care-L imităm, căruia Îi cerem puterile şi din care ne vin puterile în acest dialog, devenindu-ne şi El interior, dar în alt mod. Duhul e Cel prin Care facem toate acestea, acoperindu-Se cu noi fără să ne anuleze, dar şi fără să apară în faţa noastră ca partener de dialog între noi şi Hristos, în parte în planul istoric, în parte în planul eternităţii, pentru că noi înşine suntem acceptaţi şi ridicaţi în poziţia Duhului sau Duhul acceptă poziţia noastră pe baza unei intimităţi supreme. De aceea s-a spus că sfinţii sunt încorporările Duhului, desigur nu în sensul că natura lor umană are ca Ipostas pe Duhul în acelaşi sens în care Hristos este Ipostasul naturii Sale umane; ci în sensul că subiectele lor se realizează într-o supremă intimitate cu Duhul, şi nu numai su</w:t>
      </w:r>
      <w:r w:rsidRPr="002B17E1">
        <w:softHyphen/>
        <w:t xml:space="preserve">biectele lor cunoscătoare şi voitoare, ci şi </w:t>
      </w:r>
      <w:r w:rsidRPr="002B17E1">
        <w:rPr>
          <w:bCs/>
          <w:iCs/>
        </w:rPr>
        <w:t>trupurile</w:t>
      </w:r>
      <w:r w:rsidRPr="002B17E1">
        <w:t xml:space="preserve"> lor, adică toată fiinţa lor. Intimitatea aceasta între Duh şi omul care crede face pe omul duhovnicesc să nu-L simtă pe Duhul ca pe un </w:t>
      </w:r>
      <w:r w:rsidRPr="002B17E1">
        <w:rPr>
          <w:i/>
          <w:iCs/>
        </w:rPr>
        <w:t>Tu</w:t>
      </w:r>
      <w:r w:rsidRPr="002B17E1">
        <w:t xml:space="preserve">, ci, de câte ori zice </w:t>
      </w:r>
      <w:r w:rsidRPr="002B17E1">
        <w:rPr>
          <w:i/>
          <w:iCs/>
        </w:rPr>
        <w:t>eu</w:t>
      </w:r>
      <w:r w:rsidRPr="002B17E1">
        <w:t xml:space="preserve">, aude şi pe Duhul spunând în el </w:t>
      </w:r>
      <w:r w:rsidRPr="002B17E1">
        <w:rPr>
          <w:i/>
          <w:iCs/>
        </w:rPr>
        <w:t>Eu.</w:t>
      </w:r>
      <w:r w:rsidRPr="002B17E1">
        <w:t xml:space="preserve"> Eu-ul său a devenit Eu-ul Duhului; Eu-ul Duhului a devenit eu-ul său, într-o unire desăvârşită, fără confuzie. Sunt două eu-uri interpenetrate: Eu-ul Duhului impri</w:t>
      </w:r>
      <w:r w:rsidRPr="002B17E1">
        <w:softHyphen/>
        <w:t xml:space="preserve">mat în eu-ul omului ca să dezvolte eu-ul acestuia. Puterile Duhului şi, cu aceasta, puterile lui Hristos au devenit puterile omului. Duhul nu Se afirmă în om prin categoria de </w:t>
      </w:r>
      <w:r w:rsidRPr="002B17E1">
        <w:rPr>
          <w:i/>
          <w:iCs/>
        </w:rPr>
        <w:t>Tu</w:t>
      </w:r>
      <w:r w:rsidRPr="002B17E1">
        <w:t xml:space="preserve">, ca </w:t>
      </w:r>
      <w:r w:rsidRPr="002B17E1">
        <w:lastRenderedPageBreak/>
        <w:t>Hristos, ci de</w:t>
      </w:r>
      <w:r w:rsidRPr="002B17E1">
        <w:rPr>
          <w:i/>
          <w:iCs/>
        </w:rPr>
        <w:t xml:space="preserve"> Eu</w:t>
      </w:r>
      <w:r w:rsidRPr="002B17E1">
        <w:t>,</w:t>
      </w:r>
      <w:r w:rsidRPr="002B17E1">
        <w:rPr>
          <w:i/>
          <w:iCs/>
        </w:rPr>
        <w:t xml:space="preserve"> </w:t>
      </w:r>
      <w:r w:rsidRPr="002B17E1">
        <w:t xml:space="preserve">pentru ca să întărească eu-ul omului, dar ca un </w:t>
      </w:r>
      <w:r w:rsidRPr="002B17E1">
        <w:rPr>
          <w:i/>
          <w:iCs/>
        </w:rPr>
        <w:t xml:space="preserve">eu </w:t>
      </w:r>
      <w:r w:rsidRPr="002B17E1">
        <w:t>iubitor de Hristos. Coborând la nivelul eu-ului uman, El Se face smerit ca omul, pentru ca şi omul să se smerească şi prin smerenie să se înalţe.”</w:t>
      </w:r>
      <w:r w:rsidRPr="002B17E1">
        <w:rPr>
          <w:rStyle w:val="FootnoteReference"/>
        </w:rPr>
        <w:footnoteReference w:id="4"/>
      </w:r>
      <w:r w:rsidRPr="002B17E1">
        <w:t xml:space="preserve"> </w:t>
      </w:r>
    </w:p>
    <w:p w:rsidR="002B17E1" w:rsidRPr="002B17E1" w:rsidRDefault="002B17E1" w:rsidP="002B17E1">
      <w:pPr>
        <w:pStyle w:val="BodyText"/>
        <w:spacing w:after="0"/>
        <w:ind w:left="-450" w:right="-630"/>
        <w:jc w:val="both"/>
      </w:pPr>
      <w:r w:rsidRPr="002B17E1">
        <w:t xml:space="preserve">  </w:t>
      </w:r>
      <w:r w:rsidRPr="002B17E1">
        <w:tab/>
        <w:t xml:space="preserve">Vl. Lossky scrisese despre chenoza Duhului Sfânt şi despre intimitatea sfântului cu Duhul: </w:t>
      </w:r>
    </w:p>
    <w:p w:rsidR="002B17E1" w:rsidRPr="002B17E1" w:rsidRDefault="002B17E1" w:rsidP="002B17E1">
      <w:pPr>
        <w:pStyle w:val="BodyText"/>
        <w:spacing w:after="0"/>
        <w:ind w:left="-450" w:right="-630" w:firstLine="567"/>
        <w:jc w:val="both"/>
      </w:pPr>
      <w:r w:rsidRPr="002B17E1">
        <w:t>“Sfântul Duh Se împărtăşeşte persoanelor, însemnând pe fiecare membru al Bisericii cu o pecete a raportului personal şi unic cu Treimea, devenind prezent în fiecare persoană. Cum? Aceasta rămâne o taină – taina pogorârii, taina chenozei Sfântului Duh Care vine în lume. Dacă în chenoza Fiului, Persoana ne-a apărut, în timp ce dumnezeirea rămânea ascunsă sub «chipul de rob», Sfântul Duh, în venirea Sa, arată firea comună a Treimii, dar lasă Persoana Sa ascunsă sub dumnezeire. El rămâne nedes</w:t>
      </w:r>
      <w:r w:rsidRPr="002B17E1">
        <w:softHyphen/>
        <w:t xml:space="preserve">coperit, ascuns, ca să spunem aşa, de către dar, pentru ca acest dar pe care El îl împărtăşeşte să fie pe deplin al nostru, însuşit de către persoanele noastre. Harul nu mai este ca în </w:t>
      </w:r>
      <w:r w:rsidRPr="002B17E1">
        <w:rPr>
          <w:bCs/>
        </w:rPr>
        <w:t>Vechiul Testament</w:t>
      </w:r>
      <w:r w:rsidRPr="002B17E1">
        <w:t xml:space="preserve"> un efect produs în suflet prin voinţa dumnezeiască, activând ca o cauză exterioară persoanei; acum este viaţa dumnezeiască ce se deschide în noi în Sfântul Duh. Căci El se identifică în chip tainic cu persoanele umane, rămânând totuşi de neîmpăr</w:t>
      </w:r>
      <w:r w:rsidRPr="002B17E1">
        <w:softHyphen/>
        <w:t xml:space="preserve">tăşit; El Se </w:t>
      </w:r>
      <w:r w:rsidRPr="002B17E1">
        <w:rPr>
          <w:i/>
          <w:iCs/>
        </w:rPr>
        <w:t xml:space="preserve">substituie </w:t>
      </w:r>
      <w:r w:rsidRPr="002B17E1">
        <w:t>(s.n., N.M.), aşa zicând, nouă înşine – căci El este Cel Care strigă în inimile noastre «</w:t>
      </w:r>
      <w:r w:rsidRPr="002B17E1">
        <w:rPr>
          <w:i/>
          <w:iCs/>
        </w:rPr>
        <w:t>Avva, Părinte</w:t>
      </w:r>
      <w:r w:rsidRPr="002B17E1">
        <w:t>», după cuvântul Sfântul Pavel. Ar trebui, mai degrabă, să se spună că Sfântul Duh Se şterge, ca Persoană, în faţa persoanelor create, pe care le ajută să-şi însuşească harul. În El voinţa lui Dumnezeu nu mai este exterioară: El ne dăruieşte harul pe dinăuntru, ară</w:t>
      </w:r>
      <w:r w:rsidRPr="002B17E1">
        <w:softHyphen/>
        <w:t>tându-Se chiar în persoana noastră, atâta vreme cât voinţa noastră ome</w:t>
      </w:r>
      <w:r w:rsidRPr="002B17E1">
        <w:softHyphen/>
        <w:t>nească rămâne în acord cu voinţa dumnezeiască şi conlucrează cu ea dobândind harul, făcându-Se al nostru. Aceasta este calea îndumezeirii, ajun</w:t>
      </w:r>
      <w:r w:rsidRPr="002B17E1">
        <w:softHyphen/>
        <w:t>gând la Împărăţia lui Dumnezeu adusă în inimi de către Sfântul Duh încă din această viaţă de acum, căci Sfântul Duh este «ungerea împărătească» aşezată peste Hristos şi peste toţi creştinii chemaţi să domnească împreună cu El în veacul ce va să fie. Atunci această persoană dumnezeiască necunoscută, Care nu-Şi are chipul într-un alt ipostas, Se va arăta în persoanele îndumnezeite: căci mulţimea sfinţilor va fi chipul Său”</w:t>
      </w:r>
      <w:r w:rsidRPr="002B17E1">
        <w:rPr>
          <w:rStyle w:val="FootnoteReference"/>
        </w:rPr>
        <w:footnoteReference w:id="5"/>
      </w:r>
      <w:r w:rsidRPr="002B17E1">
        <w:t xml:space="preserve">. </w:t>
      </w:r>
    </w:p>
    <w:p w:rsidR="002B17E1" w:rsidRPr="002B17E1" w:rsidRDefault="002B17E1" w:rsidP="002B17E1">
      <w:pPr>
        <w:pStyle w:val="BodyText"/>
        <w:spacing w:after="0"/>
        <w:ind w:left="-450" w:right="-630" w:firstLine="567"/>
        <w:jc w:val="both"/>
      </w:pPr>
      <w:r w:rsidRPr="002B17E1">
        <w:t xml:space="preserve">Chiar dacă este foarte probabil ca părintele Stăniloae să fi cunoscut textele din opera lui Vl. Lossky citate </w:t>
      </w:r>
      <w:r w:rsidRPr="002B17E1">
        <w:rPr>
          <w:i/>
          <w:iCs/>
        </w:rPr>
        <w:t>supra</w:t>
      </w:r>
      <w:r w:rsidRPr="002B17E1">
        <w:t>, originalitatea sa este incontestabilă, deoarece vorbeşte despre “infuzarea” Duhului Sfânt “ca ipostas în ipostasele noastre, devenind un fel de ipostas al persoanelor noastre”, şi nu de o “substituire”, cuvânt care ar putea duce la ideea unei anihilări a eu-lui uman; de “două eu-uri interpene</w:t>
      </w:r>
      <w:r w:rsidRPr="002B17E1">
        <w:softHyphen/>
        <w:t xml:space="preserve">trate” şi nu simplu despre o “ştergere” a Persoanei Sale. Se ştie, de asemenea, că teologul român a criticat separaţia prea mare pe care a făcut-o Lossky între iconomia Fiului şi cea a Duhului Sfânt. </w:t>
      </w:r>
    </w:p>
    <w:p w:rsidR="002B17E1" w:rsidRPr="002B17E1" w:rsidRDefault="002B17E1" w:rsidP="002B17E1">
      <w:pPr>
        <w:pStyle w:val="BodyText"/>
        <w:spacing w:after="0"/>
        <w:ind w:left="-450" w:right="-630" w:firstLine="567"/>
        <w:jc w:val="both"/>
      </w:pPr>
      <w:r w:rsidRPr="002B17E1">
        <w:t>Cei doi mari teologi şi-au fundamentat, aşa cum este de aşteptat, învăţătura despre intimitatea omului duhovnicesc cu Duhul lui Dumnezeu, şi implicit “relevanţa Sa epistemologică”</w:t>
      </w:r>
      <w:r w:rsidRPr="002B17E1">
        <w:rPr>
          <w:rStyle w:val="FootnoteReference"/>
        </w:rPr>
        <w:footnoteReference w:id="6"/>
      </w:r>
      <w:r w:rsidRPr="002B17E1">
        <w:t xml:space="preserve">, pe </w:t>
      </w:r>
      <w:r w:rsidRPr="002B17E1">
        <w:rPr>
          <w:bCs/>
        </w:rPr>
        <w:t>Sfânta Scriptură</w:t>
      </w:r>
      <w:r w:rsidRPr="002B17E1">
        <w:t xml:space="preserve"> şi opera unor Părinţi ai Bisericii. Cartea </w:t>
      </w:r>
      <w:r w:rsidRPr="002B17E1">
        <w:rPr>
          <w:bCs/>
          <w:i/>
        </w:rPr>
        <w:t>Geneza</w:t>
      </w:r>
      <w:r w:rsidRPr="002B17E1">
        <w:t xml:space="preserve"> vorbeşte despre “suflarea de viaţă” – </w:t>
      </w:r>
      <w:r w:rsidRPr="002B17E1">
        <w:rPr>
          <w:i/>
          <w:iCs/>
        </w:rPr>
        <w:t>ruah Elohim</w:t>
      </w:r>
      <w:r w:rsidRPr="002B17E1">
        <w:t xml:space="preserve"> pe care a primit-o trupul de lut al lui Adam. Acesta din urmă devine viu datorită lucrării de viaţă făcătoare a “</w:t>
      </w:r>
      <w:r w:rsidRPr="002B17E1">
        <w:rPr>
          <w:i/>
          <w:iCs/>
        </w:rPr>
        <w:t>Domnului de viaţă Făcător</w:t>
      </w:r>
      <w:r w:rsidRPr="002B17E1">
        <w:t>”, Duhul Sfânt. Intimitatea omului cu Duhul Sfânt este deci clar atestată încă de la crearea omului. Păcatul va afecta grav această relaţie. Totuşi, Duhul Sfânt va “grăi prin profeţi”, iar dacă în Vechiul Testament, Duhul Sfânt pregăteşte venirea Fiului “în condiţia robului” (cf.Filip 2) în lume şi prin lucrarea Sa asupra Sfintei Fecioare Maria, Logosul Se va înomeni, finalitatea operei Mântuitorului este chiar pogorârea Duhului Sfânt, adică desăvârşirea intimităţii omului cu Duhul, şi prin Duhul cu Fiul şi cu Tatăl, fapt posibil  prin  recrearea omului: “</w:t>
      </w:r>
      <w:r w:rsidRPr="002B17E1">
        <w:rPr>
          <w:i/>
          <w:iCs/>
        </w:rPr>
        <w:t>A suflat asupra lor şi le-a zis: Luaţi Duh Sfânt</w:t>
      </w:r>
      <w:r w:rsidRPr="002B17E1">
        <w:t>” (</w:t>
      </w:r>
      <w:r w:rsidRPr="002B17E1">
        <w:rPr>
          <w:bCs/>
        </w:rPr>
        <w:t xml:space="preserve">In </w:t>
      </w:r>
      <w:r w:rsidRPr="002B17E1">
        <w:t xml:space="preserve">20, 22). În mod curent acet text este considerat în exclusivitate ca temei pentru Sfânta Taină a Spovedaniei, dar iată ce ne spune  Sfântul Chiril al Alexandriei scrie: </w:t>
      </w:r>
    </w:p>
    <w:p w:rsidR="002B17E1" w:rsidRPr="002B17E1" w:rsidRDefault="002B17E1" w:rsidP="002B17E1">
      <w:pPr>
        <w:pStyle w:val="BodyText"/>
        <w:spacing w:after="0"/>
        <w:ind w:left="-450" w:right="-630" w:firstLine="567"/>
        <w:jc w:val="both"/>
      </w:pPr>
      <w:r w:rsidRPr="002B17E1">
        <w:t xml:space="preserve">“Dar, pierzând sfinţenia prin abaterea spre rău, a fost readus la frumuseţea de la început prin Hristos, Care a înnoit ceea ce se învechise, refăcând chipul dumnezeiesc şi spiritual. Şi aceasta nu în alt mod, ci în </w:t>
      </w:r>
      <w:r w:rsidRPr="002B17E1">
        <w:lastRenderedPageBreak/>
        <w:t>cel de la început. Căci a suflat în Sfinţii Apostoli, zicând: «</w:t>
      </w:r>
      <w:r w:rsidRPr="002B17E1">
        <w:rPr>
          <w:i/>
          <w:iCs/>
        </w:rPr>
        <w:t>Luaţi Duh Sfânt</w:t>
      </w:r>
      <w:r w:rsidRPr="002B17E1">
        <w:t>» (</w:t>
      </w:r>
      <w:r w:rsidRPr="002B17E1">
        <w:rPr>
          <w:bCs/>
        </w:rPr>
        <w:t xml:space="preserve">In </w:t>
      </w:r>
      <w:r w:rsidRPr="002B17E1">
        <w:t xml:space="preserve">20, 22). Căci oare nu e cineva în Hristos făptură nouă? (2 </w:t>
      </w:r>
      <w:r w:rsidRPr="002B17E1">
        <w:rPr>
          <w:bCs/>
        </w:rPr>
        <w:t>Co</w:t>
      </w:r>
      <w:r w:rsidRPr="002B17E1">
        <w:t xml:space="preserve"> 5, 17)”</w:t>
      </w:r>
      <w:r w:rsidRPr="002B17E1">
        <w:rPr>
          <w:rStyle w:val="FootnoteReference"/>
        </w:rPr>
        <w:footnoteReference w:id="7"/>
      </w:r>
      <w:r w:rsidRPr="002B17E1">
        <w:t xml:space="preserve">. </w:t>
      </w:r>
    </w:p>
    <w:p w:rsidR="002B17E1" w:rsidRPr="002B17E1" w:rsidRDefault="002B17E1" w:rsidP="002B17E1">
      <w:pPr>
        <w:pStyle w:val="BodyText"/>
        <w:spacing w:after="0"/>
        <w:ind w:left="-450" w:right="-630" w:firstLine="567"/>
        <w:jc w:val="both"/>
      </w:pPr>
      <w:r w:rsidRPr="002B17E1">
        <w:t>Sunt numeroase texte scripturistice relevante tema theognosiei mijlocite de Duhul Sfânt. Redăm, spre exemplificare, următoarele: “</w:t>
      </w:r>
      <w:r w:rsidRPr="002B17E1">
        <w:rPr>
          <w:i/>
          <w:iCs/>
        </w:rPr>
        <w:t>De nu sa va naşte cineva din apă şi din Duh, nu va putea să intre în Împărăţia lui Dumnezeu</w:t>
      </w:r>
      <w:r w:rsidRPr="002B17E1">
        <w:t>” (In 3, 5) – naşterea din nou este opera Duhului Sfânt Cel Care lucrează în noi hristi</w:t>
      </w:r>
      <w:r w:rsidRPr="002B17E1">
        <w:softHyphen/>
        <w:t>ficarea sau hristomorfizarea; “</w:t>
      </w:r>
      <w:r w:rsidRPr="002B17E1">
        <w:rPr>
          <w:i/>
          <w:iCs/>
        </w:rPr>
        <w:t>Mângâietorul, Duhul Sfânt, pe Care Tatăl Îl va trimite întru numele Meu, Acela vă va învăţa toate…</w:t>
      </w:r>
      <w:r w:rsidRPr="002B17E1">
        <w:t>” (</w:t>
      </w:r>
      <w:r w:rsidRPr="002B17E1">
        <w:rPr>
          <w:bCs/>
        </w:rPr>
        <w:t>In</w:t>
      </w:r>
      <w:r w:rsidRPr="002B17E1">
        <w:t>14, 26);</w:t>
      </w:r>
      <w:r w:rsidRPr="002B17E1">
        <w:rPr>
          <w:i/>
          <w:iCs/>
        </w:rPr>
        <w:t xml:space="preserve"> </w:t>
      </w:r>
      <w:r w:rsidRPr="002B17E1">
        <w:t>“</w:t>
      </w:r>
      <w:r w:rsidRPr="002B17E1">
        <w:rPr>
          <w:i/>
          <w:iCs/>
        </w:rPr>
        <w:t xml:space="preserve">Duhul Sfinţeniei </w:t>
      </w:r>
      <w:r w:rsidRPr="002B17E1">
        <w:t>– agiosynes” (</w:t>
      </w:r>
      <w:r w:rsidRPr="002B17E1">
        <w:rPr>
          <w:bCs/>
        </w:rPr>
        <w:t>Rm</w:t>
      </w:r>
      <w:r w:rsidRPr="002B17E1">
        <w:t>1, 4);</w:t>
      </w:r>
      <w:r w:rsidRPr="002B17E1">
        <w:rPr>
          <w:i/>
          <w:iCs/>
        </w:rPr>
        <w:t xml:space="preserve"> </w:t>
      </w:r>
      <w:r w:rsidRPr="002B17E1">
        <w:t>“</w:t>
      </w:r>
      <w:r w:rsidRPr="002B17E1">
        <w:rPr>
          <w:i/>
          <w:iCs/>
        </w:rPr>
        <w:t>Iubirea lui Dumnezeu S-a vărsat în ini</w:t>
      </w:r>
      <w:r w:rsidRPr="002B17E1">
        <w:rPr>
          <w:i/>
          <w:iCs/>
        </w:rPr>
        <w:softHyphen/>
        <w:t>mile noastre prin Duhul cel Sfânt Care ni s-a dat</w:t>
      </w:r>
      <w:r w:rsidRPr="002B17E1">
        <w:t>”</w:t>
      </w:r>
      <w:r w:rsidRPr="002B17E1">
        <w:rPr>
          <w:i/>
          <w:iCs/>
        </w:rPr>
        <w:t xml:space="preserve"> </w:t>
      </w:r>
      <w:r w:rsidRPr="002B17E1">
        <w:t>(</w:t>
      </w:r>
      <w:r w:rsidRPr="002B17E1">
        <w:rPr>
          <w:bCs/>
        </w:rPr>
        <w:t>Rm</w:t>
      </w:r>
      <w:r w:rsidRPr="002B17E1">
        <w:t xml:space="preserve"> 5, 5); “</w:t>
      </w:r>
      <w:r w:rsidRPr="002B17E1">
        <w:rPr>
          <w:i/>
          <w:iCs/>
        </w:rPr>
        <w:t>Iar dacă Duhul Celui Ce L-a înviat pe Iisus din morţi</w:t>
      </w:r>
      <w:r w:rsidRPr="002B17E1">
        <w:t xml:space="preserve"> </w:t>
      </w:r>
      <w:r w:rsidRPr="002B17E1">
        <w:rPr>
          <w:i/>
          <w:iCs/>
        </w:rPr>
        <w:t>locuieşte în voi, Cel ce L-a înviat pe Iisus Hristos din morţi va face vii şi trupurile voastre prin Duhul Său care locuieşte în voi</w:t>
      </w:r>
      <w:r w:rsidRPr="002B17E1">
        <w:t>”</w:t>
      </w:r>
      <w:r w:rsidRPr="002B17E1">
        <w:rPr>
          <w:i/>
          <w:iCs/>
        </w:rPr>
        <w:t xml:space="preserve"> </w:t>
      </w:r>
      <w:r w:rsidRPr="002B17E1">
        <w:t>(</w:t>
      </w:r>
      <w:r w:rsidRPr="002B17E1">
        <w:rPr>
          <w:bCs/>
        </w:rPr>
        <w:t>Rm</w:t>
      </w:r>
      <w:r w:rsidRPr="002B17E1">
        <w:t xml:space="preserve"> 8, 11); “</w:t>
      </w:r>
      <w:r w:rsidRPr="002B17E1">
        <w:rPr>
          <w:i/>
          <w:iCs/>
        </w:rPr>
        <w:t>Duhul înfierii L-aţi primit, prin care strigăm: Avva! Părinte!</w:t>
      </w:r>
      <w:r w:rsidRPr="002B17E1">
        <w:t>” (</w:t>
      </w:r>
      <w:r w:rsidRPr="002B17E1">
        <w:rPr>
          <w:bCs/>
        </w:rPr>
        <w:t>Rm</w:t>
      </w:r>
      <w:r w:rsidRPr="002B17E1">
        <w:t xml:space="preserve"> 8, 15);</w:t>
      </w:r>
      <w:r w:rsidRPr="002B17E1">
        <w:rPr>
          <w:i/>
          <w:iCs/>
        </w:rPr>
        <w:t xml:space="preserve"> </w:t>
      </w:r>
      <w:r w:rsidRPr="002B17E1">
        <w:t>“</w:t>
      </w:r>
      <w:r w:rsidRPr="002B17E1">
        <w:rPr>
          <w:i/>
          <w:iCs/>
        </w:rPr>
        <w:t>Duhul îi vine slăbiciunii noastre într-ajutor; că nu ştim să ne rugăm cum trebuie, dar Duhul Însuşi mijloceşte pentru noi cu suspine de negrăit</w:t>
      </w:r>
      <w:r w:rsidRPr="002B17E1">
        <w:t>.” (</w:t>
      </w:r>
      <w:r w:rsidRPr="002B17E1">
        <w:rPr>
          <w:bCs/>
        </w:rPr>
        <w:t>Rm</w:t>
      </w:r>
      <w:r w:rsidRPr="002B17E1">
        <w:t xml:space="preserve"> 8, 26</w:t>
      </w:r>
      <w:r w:rsidRPr="002B17E1">
        <w:rPr>
          <w:i/>
          <w:iCs/>
        </w:rPr>
        <w:t>)</w:t>
      </w:r>
      <w:r w:rsidRPr="002B17E1">
        <w:t>; “</w:t>
      </w:r>
      <w:r w:rsidRPr="002B17E1">
        <w:rPr>
          <w:i/>
          <w:iCs/>
        </w:rPr>
        <w:t>Nouă însă ni le-a dezvăluit Dumnezeu prin Duhul Său, fiindcă Duhul pe toate le cercetează, chiar şi adâncurile lui Dumnezeu</w:t>
      </w:r>
      <w:r w:rsidRPr="002B17E1">
        <w:t>” (1</w:t>
      </w:r>
      <w:r w:rsidRPr="002B17E1">
        <w:rPr>
          <w:bCs/>
        </w:rPr>
        <w:t>Co</w:t>
      </w:r>
      <w:r w:rsidRPr="002B17E1">
        <w:t xml:space="preserve"> 2, 10, cf. 11);</w:t>
      </w:r>
      <w:r w:rsidRPr="002B17E1">
        <w:rPr>
          <w:i/>
          <w:iCs/>
        </w:rPr>
        <w:t xml:space="preserve"> </w:t>
      </w:r>
      <w:r w:rsidRPr="002B17E1">
        <w:t>“</w:t>
      </w:r>
      <w:r w:rsidRPr="002B17E1">
        <w:rPr>
          <w:i/>
          <w:iCs/>
        </w:rPr>
        <w:t>cuvinte învăţate de la Duhul Sfânt</w:t>
      </w:r>
      <w:r w:rsidRPr="002B17E1">
        <w:t>” (1Co 2, 13); “</w:t>
      </w:r>
      <w:r w:rsidRPr="002B17E1">
        <w:rPr>
          <w:i/>
          <w:iCs/>
        </w:rPr>
        <w:t>Nu ştiţi oare că voi sunteţi templul lui Dumnezeu şi că Duhul lui Dumnezeu locuieşte întru voi?</w:t>
      </w:r>
      <w:r w:rsidRPr="002B17E1">
        <w:t xml:space="preserve">” (1Co 3,16; </w:t>
      </w:r>
      <w:r w:rsidRPr="002B17E1">
        <w:rPr>
          <w:i/>
          <w:iCs/>
        </w:rPr>
        <w:t>cf</w:t>
      </w:r>
      <w:r w:rsidRPr="002B17E1">
        <w:t>. 6, 19), “</w:t>
      </w:r>
      <w:r w:rsidRPr="002B17E1">
        <w:rPr>
          <w:i/>
          <w:iCs/>
        </w:rPr>
        <w:t>Iar cel ce se alipeşte de Domnul este un duh cu El</w:t>
      </w:r>
      <w:r w:rsidRPr="002B17E1">
        <w:t>” (1Co 6, 17), “</w:t>
      </w:r>
      <w:r w:rsidRPr="002B17E1">
        <w:rPr>
          <w:i/>
          <w:iCs/>
        </w:rPr>
        <w:t>nimeni nu poate să zică: Domn este Iisus! Decât întru Duhul Sfânt</w:t>
      </w:r>
      <w:r w:rsidRPr="002B17E1">
        <w:t>” (1Co12, 3); “</w:t>
      </w:r>
      <w:r w:rsidRPr="002B17E1">
        <w:rPr>
          <w:i/>
          <w:iCs/>
        </w:rPr>
        <w:t>pentru ca Dumnezeul Domnului nostru Iisus Hristos, Tatăl slavei, să vă dea vouă duh de înţelepciune şi de descoperire spre cunoaşterea Lui</w:t>
      </w:r>
      <w:r w:rsidRPr="002B17E1">
        <w:t>” (Efes 1, 17); “</w:t>
      </w:r>
      <w:r w:rsidRPr="002B17E1">
        <w:rPr>
          <w:i/>
          <w:iCs/>
        </w:rPr>
        <w:t>că prin El şi unii şi alţii într-un Duh avem calea deschisă spre Tatăl</w:t>
      </w:r>
      <w:r w:rsidRPr="002B17E1">
        <w:t xml:space="preserve">” (Efes 2, 18). </w:t>
      </w:r>
    </w:p>
    <w:p w:rsidR="002B17E1" w:rsidRPr="002B17E1" w:rsidRDefault="002B17E1" w:rsidP="002B17E1">
      <w:pPr>
        <w:pStyle w:val="BodyText"/>
        <w:spacing w:after="0"/>
        <w:ind w:left="-450" w:right="-630" w:firstLine="567"/>
        <w:jc w:val="both"/>
      </w:pPr>
      <w:r w:rsidRPr="002B17E1">
        <w:t>Important este şi textul din 1In 2, 20: “</w:t>
      </w:r>
      <w:r w:rsidRPr="002B17E1">
        <w:rPr>
          <w:i/>
        </w:rPr>
        <w:t xml:space="preserve">Iar voi, ungere aveţi de la Cel-Sfânt şi pe toate le ştiţi </w:t>
      </w:r>
      <w:r w:rsidRPr="002B17E1">
        <w:t xml:space="preserve">- </w:t>
      </w:r>
      <w:r w:rsidRPr="002B17E1">
        <w:rPr>
          <w:iCs/>
        </w:rPr>
        <w:t>kai hymeis chrisma ehete apo tou agiou kai oidate pantes</w:t>
      </w:r>
      <w:r w:rsidRPr="002B17E1">
        <w:t xml:space="preserve"> , în care este reliefată semnificaţia noetică sau theognosică a ungerii cu Sfântul Mir care, împreună cu Sfânta Taină a Botezului, reprezintă începutul hristi</w:t>
      </w:r>
      <w:r w:rsidRPr="002B17E1">
        <w:softHyphen/>
        <w:t>ficării sau hristomorfizării noastre, lucrare ce aparţine Duhului Sfânt şi omului. Împărtăşirea cu Hristos euharistic este posibilă tot datorită partici</w:t>
      </w:r>
      <w:r w:rsidRPr="002B17E1">
        <w:softHyphen/>
        <w:t>pării Sfântului Duh, Cel Care consacră cinstitele Daruri. După Împărtăşire, credincioşii cântă: “</w:t>
      </w:r>
      <w:r w:rsidRPr="002B17E1">
        <w:rPr>
          <w:i/>
        </w:rPr>
        <w:t xml:space="preserve">Am văzut Lumina cea adevărată </w:t>
      </w:r>
      <w:r w:rsidRPr="002B17E1">
        <w:t>(...)”, întrucât Sfânta Euharistie este sursa vederii luminii dumnezeieşti, suprema theognosie. Sfântul Vasile cel Mare a reliefat limpede “</w:t>
      </w:r>
      <w:r w:rsidRPr="002B17E1">
        <w:rPr>
          <w:i/>
          <w:iCs/>
        </w:rPr>
        <w:t>relevanţa epistemologică a Duhului Sfânt</w:t>
      </w:r>
      <w:r w:rsidRPr="002B17E1">
        <w:t>” atunci când a scris: “Drumul cunoaşterii lui Dumnezeu por</w:t>
      </w:r>
      <w:r w:rsidRPr="002B17E1">
        <w:softHyphen/>
        <w:t>neşte de la Duhul Cel Unul, (trece) prin Fiul Cel Unul (şi ajunge) la Tatăl Cel Unul. Şi invers, bunătatea, sfinţenia şi demnitatea împărătească (pornesc) de la Tatăl, (trec) prin Fiul Cel Unul şi ajung la Duhul”</w:t>
      </w:r>
      <w:r w:rsidRPr="002B17E1">
        <w:rPr>
          <w:rStyle w:val="FootnoteReference"/>
        </w:rPr>
        <w:footnoteReference w:id="8"/>
      </w:r>
      <w:r w:rsidRPr="002B17E1">
        <w:t xml:space="preserve">. Sunt exprimate aici conceptele de </w:t>
      </w:r>
      <w:r w:rsidRPr="002B17E1">
        <w:rPr>
          <w:i/>
          <w:iCs/>
        </w:rPr>
        <w:t>anabază</w:t>
      </w:r>
      <w:r w:rsidRPr="002B17E1">
        <w:t xml:space="preserve"> (urcare) şi cel de </w:t>
      </w:r>
      <w:r w:rsidRPr="002B17E1">
        <w:rPr>
          <w:i/>
          <w:iCs/>
        </w:rPr>
        <w:t>catabază</w:t>
      </w:r>
      <w:r w:rsidRPr="002B17E1">
        <w:t xml:space="preserve"> (coborâre).</w:t>
      </w:r>
    </w:p>
    <w:p w:rsidR="002B17E1" w:rsidRPr="002B17E1" w:rsidRDefault="002B17E1" w:rsidP="002B17E1">
      <w:pPr>
        <w:pStyle w:val="BodyText"/>
        <w:spacing w:after="0"/>
        <w:ind w:left="-450" w:right="-630" w:firstLine="567"/>
      </w:pPr>
      <w:r w:rsidRPr="002B17E1">
        <w:t>Sfântul Simeon Noul Teolog a dat mărturie despre intimitatea la care poate ajunge omul cu Duhul Sfânt. Într-unul din imnele sale, slăveşte pe Sfântul Duh Care Se uneşte în chip tainic cu noi, dăruindu-ne comuniunea cu Sfânta Treime:</w:t>
      </w:r>
    </w:p>
    <w:p w:rsidR="002B17E1" w:rsidRPr="002B17E1" w:rsidRDefault="002B17E1" w:rsidP="002B17E1">
      <w:pPr>
        <w:pStyle w:val="BodyText"/>
        <w:spacing w:after="0"/>
        <w:ind w:left="-450" w:right="-630"/>
      </w:pPr>
      <w:r w:rsidRPr="002B17E1">
        <w:t>“Căci ai unit cu sufletul meu pe Duhul Tău dumnezeiesc, pe Care L-ai şi sălăşluit în cele dinlăuntrul meu”</w:t>
      </w:r>
      <w:r w:rsidRPr="002B17E1">
        <w:rPr>
          <w:rStyle w:val="FootnoteReference"/>
        </w:rPr>
        <w:footnoteReference w:id="9"/>
      </w:r>
      <w:r w:rsidRPr="002B17E1">
        <w:t>.</w:t>
      </w:r>
    </w:p>
    <w:p w:rsidR="002B17E1" w:rsidRPr="002B17E1" w:rsidRDefault="002B17E1" w:rsidP="002B17E1">
      <w:pPr>
        <w:pStyle w:val="BodyText"/>
        <w:spacing w:after="0"/>
        <w:ind w:left="-450" w:right="-630"/>
        <w:jc w:val="both"/>
      </w:pPr>
      <w:r w:rsidRPr="002B17E1">
        <w:t xml:space="preserve">“Îţi mulţumesc pentru că Tu, Fiinţă dumnezeiască mai presus de toate fiinţele, Te-ai făcut un singur duh cu mine – fără amestecare, fără schimbare – şi Te-ai făcut pentru mine totul în toţi: hrană negrăită, împărţită în dar, care se revarsă de pe buze în sufletul meu, care curge din belşug din izvorul inimii mele; </w:t>
      </w:r>
      <w:r w:rsidRPr="002B17E1">
        <w:rPr>
          <w:iCs/>
        </w:rPr>
        <w:t xml:space="preserve">veşmânt strălucitor care mă acoperă </w:t>
      </w:r>
      <w:r w:rsidRPr="002B17E1">
        <w:t xml:space="preserve"> şi mă apără şi care îi arde pe draci; curăţirea care mă spală de toată spurcăciunea prin aceste sfinte şi necurmate lacrimi pe care prezenţa Ta le dă celor la care intri Tu. Îţi mulţumesc că mi Te-ai descoperit, ca ziua cea neînserată, ca soarele cel neapus. O! Tu Care nu ai loc unde să Te ascunzi, căci </w:t>
      </w:r>
      <w:r w:rsidRPr="002B17E1">
        <w:lastRenderedPageBreak/>
        <w:t>niciodată nu Te-ai ascuns; niciodată nu ai dispreţuit pe nimeni, ci, dimpotrivă, noi ne ascundem nevoind să venim către Tine”</w:t>
      </w:r>
      <w:r w:rsidRPr="002B17E1">
        <w:rPr>
          <w:rStyle w:val="FootnoteReference"/>
        </w:rPr>
        <w:footnoteReference w:id="10"/>
      </w:r>
      <w:r w:rsidRPr="002B17E1">
        <w:t>.</w:t>
      </w:r>
    </w:p>
    <w:p w:rsidR="002B17E1" w:rsidRPr="002B17E1" w:rsidRDefault="002B17E1" w:rsidP="002B17E1">
      <w:pPr>
        <w:pStyle w:val="BodyText"/>
        <w:spacing w:after="0"/>
        <w:ind w:left="-450" w:right="-630" w:firstLine="567"/>
        <w:jc w:val="both"/>
      </w:pPr>
      <w:r w:rsidRPr="002B17E1">
        <w:t>Duhul Sfânt produce o adevărată înviere a sufletului mort, pentru ca să vieţuiască în Hristos:</w:t>
      </w:r>
    </w:p>
    <w:p w:rsidR="002B17E1" w:rsidRPr="002B17E1" w:rsidRDefault="002B17E1" w:rsidP="002B17E1">
      <w:pPr>
        <w:pStyle w:val="BodyText"/>
        <w:spacing w:after="0"/>
        <w:ind w:left="-450" w:right="-630" w:firstLine="567"/>
        <w:jc w:val="both"/>
      </w:pPr>
      <w:r w:rsidRPr="002B17E1">
        <w:t xml:space="preserve"> “Gândeşte-te deci că tu însuţi eşti mort din punct de vedere spiritual – </w:t>
      </w:r>
      <w:r w:rsidRPr="002B17E1">
        <w:rPr>
          <w:i/>
          <w:iCs/>
        </w:rPr>
        <w:t>noeros.</w:t>
      </w:r>
      <w:r w:rsidRPr="002B17E1">
        <w:t xml:space="preserve"> Spune-mi, deci, cum vei putea vieţui, fără să fii unit cu viaţa cea adevărată, adică cu Duhul Sfânt, prin care tot cel ce crede se naşte din nou şi vieţuieşte din nou în Hristos”</w:t>
      </w:r>
      <w:r w:rsidRPr="002B17E1">
        <w:rPr>
          <w:rStyle w:val="FootnoteReference"/>
        </w:rPr>
        <w:footnoteReference w:id="11"/>
      </w:r>
      <w:r w:rsidRPr="002B17E1">
        <w:t>.</w:t>
      </w:r>
    </w:p>
    <w:p w:rsidR="002B17E1" w:rsidRPr="002B17E1" w:rsidRDefault="002B17E1" w:rsidP="002B17E1">
      <w:pPr>
        <w:pStyle w:val="BodyText"/>
        <w:spacing w:after="0"/>
        <w:ind w:left="-450" w:right="-630" w:firstLine="567"/>
        <w:jc w:val="both"/>
      </w:pPr>
      <w:r w:rsidRPr="002B17E1">
        <w:t xml:space="preserve"> Duhul Sfânt ni-L descoperă pe Fiul:</w:t>
      </w:r>
    </w:p>
    <w:p w:rsidR="002B17E1" w:rsidRPr="002B17E1" w:rsidRDefault="002B17E1" w:rsidP="002B17E1">
      <w:pPr>
        <w:pStyle w:val="BodyText"/>
        <w:spacing w:after="0"/>
        <w:ind w:left="-450" w:right="-630" w:firstLine="567"/>
        <w:jc w:val="both"/>
      </w:pPr>
      <w:r w:rsidRPr="002B17E1">
        <w:t xml:space="preserve"> “Gură a lui Dumnezeu este Duhul Sfânt, iar vorbă şi cuvânt al Său este Fiul lui Dumnezeu (…). Nici Fiul şi Cuvântul lui Dumnezeu nu se poate face cunoscut sau auzit, decât grăit sau descoperit ca printr-o gură prin Duhul Sfânt”</w:t>
      </w:r>
      <w:r w:rsidRPr="002B17E1">
        <w:rPr>
          <w:rStyle w:val="FootnoteReference"/>
        </w:rPr>
        <w:footnoteReference w:id="12"/>
      </w:r>
      <w:r w:rsidRPr="002B17E1">
        <w:t>.</w:t>
      </w:r>
    </w:p>
    <w:p w:rsidR="002B17E1" w:rsidRPr="002B17E1" w:rsidRDefault="002B17E1" w:rsidP="002B17E1">
      <w:pPr>
        <w:pStyle w:val="BodyText"/>
        <w:spacing w:after="0"/>
        <w:ind w:left="-450" w:right="-630" w:firstLine="567"/>
      </w:pPr>
      <w:r w:rsidRPr="002B17E1">
        <w:t>Cunoaşterea lui Dumnezeu, datorită harului şi iluminării Duhului este de fapt cunoaşterea Sfintei Treimi</w:t>
      </w:r>
      <w:r w:rsidRPr="002B17E1">
        <w:rPr>
          <w:rStyle w:val="FootnoteReference"/>
        </w:rPr>
        <w:footnoteReference w:id="13"/>
      </w:r>
      <w:r w:rsidRPr="002B17E1">
        <w:t xml:space="preserve">: </w:t>
      </w:r>
    </w:p>
    <w:p w:rsidR="00B65D42" w:rsidRPr="002B17E1" w:rsidRDefault="002B17E1" w:rsidP="002B17E1">
      <w:pPr>
        <w:ind w:left="-450" w:right="-630"/>
      </w:pPr>
      <w:r w:rsidRPr="002B17E1">
        <w:t>“Da, cu adevărat aceasta se întâmplă, aceasta se săvârşeşte, aşa se descoperă harul Duhului; şi în El şi prin El Fiul împreună cu Tatăl. Şi pe Aceştia îi vede, pe cât e cu putinţă să fie văzuţi. Şi aşa e învăţat în mod negrăit cele despre Ei. Iar el le spune şi le scrie şi tuturor celorlalţi. Şi aşa le expune dogmele vrednice de Dumnezeu, cum le-au învăţat toţi sfinţii părinţi de mai înainte. Căci aşa au dogmatizat ei Simbolul dum</w:t>
      </w:r>
      <w:r w:rsidRPr="002B17E1">
        <w:softHyphen/>
        <w:t>nezeiesc. Pentru că s-au făcut şi aceia astfel cum au spus, cum au grăit şi au spus cu Dumnezeu, cele ale lui Dumnezeu. Căci cine a teologhisit despre unitatea treimică sau cine a respins erezia fără să devină astfel, sau cine a fost numit sfânt fără să se împărtăşească de Sfântul Duh. Nimeni, nicio</w:t>
      </w:r>
      <w:r w:rsidRPr="002B17E1">
        <w:softHyphen/>
        <w:t>dată”</w:t>
      </w:r>
      <w:r w:rsidRPr="002B17E1">
        <w:rPr>
          <w:rStyle w:val="FootnoteReference"/>
        </w:rPr>
        <w:footnoteReference w:id="14"/>
      </w:r>
      <w:r w:rsidRPr="002B17E1">
        <w:t>.</w:t>
      </w:r>
    </w:p>
    <w:sectPr w:rsidR="00B65D42" w:rsidRPr="002B17E1" w:rsidSect="00EC548D">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72A3" w:rsidRDefault="00AC72A3" w:rsidP="002B17E1">
      <w:r>
        <w:separator/>
      </w:r>
    </w:p>
  </w:endnote>
  <w:endnote w:type="continuationSeparator" w:id="1">
    <w:p w:rsidR="00AC72A3" w:rsidRDefault="00AC72A3" w:rsidP="002B17E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72A3" w:rsidRDefault="00AC72A3" w:rsidP="002B17E1">
      <w:r>
        <w:separator/>
      </w:r>
    </w:p>
  </w:footnote>
  <w:footnote w:type="continuationSeparator" w:id="1">
    <w:p w:rsidR="00AC72A3" w:rsidRDefault="00AC72A3" w:rsidP="002B17E1">
      <w:r>
        <w:continuationSeparator/>
      </w:r>
    </w:p>
  </w:footnote>
  <w:footnote w:id="2">
    <w:p w:rsidR="002B17E1" w:rsidRPr="002B17E1" w:rsidRDefault="002B17E1" w:rsidP="002B17E1">
      <w:pPr>
        <w:pStyle w:val="FootnoteText"/>
        <w:jc w:val="both"/>
        <w:rPr>
          <w:lang w:val="ro-RO"/>
        </w:rPr>
      </w:pPr>
      <w:r w:rsidRPr="002B17E1">
        <w:rPr>
          <w:rStyle w:val="FootnoteReference"/>
        </w:rPr>
        <w:footnoteRef/>
      </w:r>
      <w:r w:rsidRPr="002B17E1">
        <w:t xml:space="preserve"> </w:t>
      </w:r>
      <w:r w:rsidRPr="002B17E1">
        <w:rPr>
          <w:lang w:val="ro-RO"/>
        </w:rPr>
        <w:t xml:space="preserve">A se vedea teza de doctorat a  strălucitului teolog şi episcop mărturisitor Nicolae Popovici, </w:t>
      </w:r>
      <w:r w:rsidRPr="002B17E1">
        <w:rPr>
          <w:i/>
          <w:lang w:val="ro-RO"/>
        </w:rPr>
        <w:t>Epicleza euharistică</w:t>
      </w:r>
      <w:r w:rsidRPr="002B17E1">
        <w:rPr>
          <w:lang w:val="ro-RO"/>
        </w:rPr>
        <w:t>, Nemira, 2003 şi erudita teză de doctorat a tânărului conferenţiar universitar Ciprian Ioan Streza,</w:t>
      </w:r>
      <w:r w:rsidRPr="002B17E1">
        <w:rPr>
          <w:i/>
          <w:lang w:val="ro-RO"/>
        </w:rPr>
        <w:t xml:space="preserve"> Anaforaua Sfântului Vasile cel Mare. Istorie-text-analiză comparată, comentariu teologic</w:t>
      </w:r>
      <w:r w:rsidRPr="002B17E1">
        <w:rPr>
          <w:lang w:val="ro-RO"/>
        </w:rPr>
        <w:t>, Andreiana, 2009, pp.343-37, (n.n.N.M.)</w:t>
      </w:r>
    </w:p>
  </w:footnote>
  <w:footnote w:id="3">
    <w:p w:rsidR="002B17E1" w:rsidRPr="002B17E1" w:rsidRDefault="002B17E1" w:rsidP="002B17E1">
      <w:pPr>
        <w:pStyle w:val="FootnoteText"/>
        <w:jc w:val="both"/>
        <w:rPr>
          <w:i/>
          <w:lang w:val="ro-RO"/>
        </w:rPr>
      </w:pPr>
      <w:r w:rsidRPr="002B17E1">
        <w:rPr>
          <w:rStyle w:val="FootnoteReference"/>
        </w:rPr>
        <w:footnoteRef/>
      </w:r>
      <w:r w:rsidRPr="002B17E1">
        <w:t xml:space="preserve"> Ion Bria, </w:t>
      </w:r>
      <w:r w:rsidRPr="002B17E1">
        <w:rPr>
          <w:i/>
        </w:rPr>
        <w:t>Sensul Tradiţiei .</w:t>
      </w:r>
      <w:r w:rsidRPr="002B17E1">
        <w:t>..,</w:t>
      </w:r>
      <w:r w:rsidRPr="002B17E1">
        <w:rPr>
          <w:i/>
        </w:rPr>
        <w:t>op.cit.</w:t>
      </w:r>
      <w:r w:rsidRPr="002B17E1">
        <w:t>, pp.66-67</w:t>
      </w:r>
    </w:p>
  </w:footnote>
  <w:footnote w:id="4">
    <w:p w:rsidR="002B17E1" w:rsidRPr="002B17E1" w:rsidRDefault="002B17E1" w:rsidP="002B17E1">
      <w:pPr>
        <w:pStyle w:val="FootnoteText"/>
        <w:jc w:val="both"/>
      </w:pPr>
      <w:r w:rsidRPr="002B17E1">
        <w:rPr>
          <w:rStyle w:val="FootnoteReference"/>
        </w:rPr>
        <w:footnoteRef/>
      </w:r>
      <w:r w:rsidRPr="002B17E1">
        <w:rPr>
          <w:i/>
        </w:rPr>
        <w:t>TDO,</w:t>
      </w:r>
      <w:r w:rsidRPr="002B17E1">
        <w:t>vol 2, pp. 308 – 309.</w:t>
      </w:r>
    </w:p>
  </w:footnote>
  <w:footnote w:id="5">
    <w:p w:rsidR="002B17E1" w:rsidRPr="002B17E1" w:rsidRDefault="002B17E1" w:rsidP="002B17E1">
      <w:pPr>
        <w:pStyle w:val="FootnoteText"/>
        <w:jc w:val="both"/>
      </w:pPr>
      <w:r w:rsidRPr="002B17E1">
        <w:rPr>
          <w:rStyle w:val="FootnoteReference"/>
        </w:rPr>
        <w:footnoteRef/>
      </w:r>
      <w:r w:rsidRPr="002B17E1">
        <w:t xml:space="preserve"> </w:t>
      </w:r>
      <w:r w:rsidRPr="002B17E1">
        <w:rPr>
          <w:bCs/>
          <w:i/>
        </w:rPr>
        <w:t>Teologia mistică a Bisericii de Răsărit</w:t>
      </w:r>
      <w:r w:rsidRPr="002B17E1">
        <w:t>,Editura Anastasia, Bucureşti, (f.a.), pp. 197, 201.</w:t>
      </w:r>
    </w:p>
  </w:footnote>
  <w:footnote w:id="6">
    <w:p w:rsidR="002B17E1" w:rsidRPr="002B17E1" w:rsidRDefault="002B17E1" w:rsidP="002B17E1">
      <w:pPr>
        <w:pStyle w:val="FootnoteText"/>
        <w:jc w:val="both"/>
        <w:rPr>
          <w:lang w:val="ro-RO"/>
        </w:rPr>
      </w:pPr>
      <w:r w:rsidRPr="002B17E1">
        <w:rPr>
          <w:rStyle w:val="FootnoteReference"/>
        </w:rPr>
        <w:footnoteRef/>
      </w:r>
      <w:r w:rsidRPr="002B17E1">
        <w:t xml:space="preserve"> Formularea aparţine teologului scoţian Thomas F. Torrance, fiind titlul cap. VII, al lucrării sale: </w:t>
      </w:r>
      <w:r w:rsidRPr="002B17E1">
        <w:rPr>
          <w:bCs/>
          <w:i/>
        </w:rPr>
        <w:t>God and Rationality</w:t>
      </w:r>
      <w:r w:rsidRPr="002B17E1">
        <w:rPr>
          <w:i/>
        </w:rPr>
        <w:t>,</w:t>
      </w:r>
      <w:r w:rsidRPr="002B17E1">
        <w:t xml:space="preserve"> Oxford University Press, 1971, pp. 165 – 193</w:t>
      </w:r>
    </w:p>
  </w:footnote>
  <w:footnote w:id="7">
    <w:p w:rsidR="002B17E1" w:rsidRPr="002B17E1" w:rsidRDefault="002B17E1" w:rsidP="002B17E1">
      <w:pPr>
        <w:pStyle w:val="FootnoteText"/>
        <w:jc w:val="both"/>
      </w:pPr>
      <w:r w:rsidRPr="002B17E1">
        <w:rPr>
          <w:rStyle w:val="FootnoteReference"/>
        </w:rPr>
        <w:footnoteRef/>
      </w:r>
      <w:r w:rsidRPr="002B17E1">
        <w:rPr>
          <w:i/>
          <w:iCs/>
        </w:rPr>
        <w:t xml:space="preserve"> </w:t>
      </w:r>
      <w:r w:rsidRPr="002B17E1">
        <w:rPr>
          <w:bCs/>
          <w:i/>
        </w:rPr>
        <w:t>Despre</w:t>
      </w:r>
      <w:r w:rsidRPr="002B17E1">
        <w:rPr>
          <w:bCs/>
          <w:i/>
          <w:iCs/>
        </w:rPr>
        <w:t xml:space="preserve"> </w:t>
      </w:r>
      <w:r w:rsidRPr="002B17E1">
        <w:rPr>
          <w:bCs/>
          <w:i/>
        </w:rPr>
        <w:t>Sfânta Treime</w:t>
      </w:r>
      <w:r w:rsidRPr="002B17E1">
        <w:t xml:space="preserve">, </w:t>
      </w:r>
      <w:r w:rsidRPr="002B17E1">
        <w:rPr>
          <w:i/>
        </w:rPr>
        <w:t>PSB</w:t>
      </w:r>
      <w:r w:rsidRPr="002B17E1">
        <w:t>, 40, EIBMBOR, 1994, p.283.</w:t>
      </w:r>
    </w:p>
  </w:footnote>
  <w:footnote w:id="8">
    <w:p w:rsidR="002B17E1" w:rsidRPr="002B17E1" w:rsidRDefault="002B17E1" w:rsidP="002B17E1">
      <w:pPr>
        <w:pStyle w:val="FootnoteText"/>
        <w:jc w:val="both"/>
      </w:pPr>
      <w:r w:rsidRPr="002B17E1">
        <w:rPr>
          <w:rStyle w:val="FootnoteReference"/>
        </w:rPr>
        <w:footnoteRef/>
      </w:r>
      <w:r w:rsidRPr="002B17E1">
        <w:rPr>
          <w:bCs/>
          <w:i/>
        </w:rPr>
        <w:t>Despre Sfântul Duh. Corespondenţa (Epistole)</w:t>
      </w:r>
      <w:r w:rsidRPr="002B17E1">
        <w:t xml:space="preserve">, trad. rom. Prof. dr. C. Corniţescu şi Pr. Prof. dr. T. Bodogae, </w:t>
      </w:r>
      <w:r w:rsidRPr="002B17E1">
        <w:rPr>
          <w:i/>
        </w:rPr>
        <w:t>PSB</w:t>
      </w:r>
      <w:r w:rsidRPr="002B17E1">
        <w:t xml:space="preserve"> 12, EIBMBOR, Bucureşti, 1988, p. 62.</w:t>
      </w:r>
    </w:p>
  </w:footnote>
  <w:footnote w:id="9">
    <w:p w:rsidR="002B17E1" w:rsidRPr="002B17E1" w:rsidRDefault="002B17E1" w:rsidP="002B17E1">
      <w:pPr>
        <w:pStyle w:val="FootnoteText"/>
        <w:jc w:val="both"/>
      </w:pPr>
      <w:r w:rsidRPr="002B17E1">
        <w:rPr>
          <w:rStyle w:val="FootnoteReference"/>
        </w:rPr>
        <w:footnoteRef/>
      </w:r>
      <w:r w:rsidRPr="002B17E1">
        <w:rPr>
          <w:bCs/>
          <w:i/>
        </w:rPr>
        <w:t>Imn</w:t>
      </w:r>
      <w:r w:rsidRPr="002B17E1">
        <w:t xml:space="preserve"> 47 în </w:t>
      </w:r>
      <w:r w:rsidRPr="002B17E1">
        <w:rPr>
          <w:i/>
        </w:rPr>
        <w:t>Idem</w:t>
      </w:r>
      <w:r w:rsidRPr="002B17E1">
        <w:t xml:space="preserve">, </w:t>
      </w:r>
      <w:r w:rsidRPr="002B17E1">
        <w:rPr>
          <w:i/>
        </w:rPr>
        <w:t>Studii de Teologie Dogmatică</w:t>
      </w:r>
      <w:r w:rsidRPr="002B17E1">
        <w:t>, Editura Mitropoliei Olteniei, Craiova,1991,p. 630.</w:t>
      </w:r>
    </w:p>
  </w:footnote>
  <w:footnote w:id="10">
    <w:p w:rsidR="002B17E1" w:rsidRPr="002B17E1" w:rsidRDefault="002B17E1" w:rsidP="002B17E1">
      <w:pPr>
        <w:pStyle w:val="FootnoteText"/>
        <w:jc w:val="both"/>
      </w:pPr>
      <w:r w:rsidRPr="002B17E1">
        <w:rPr>
          <w:rStyle w:val="FootnoteReference"/>
        </w:rPr>
        <w:footnoteRef/>
      </w:r>
      <w:r w:rsidRPr="002B17E1">
        <w:rPr>
          <w:i/>
        </w:rPr>
        <w:t xml:space="preserve"> </w:t>
      </w:r>
      <w:r w:rsidRPr="002B17E1">
        <w:rPr>
          <w:bCs/>
          <w:i/>
        </w:rPr>
        <w:t>Imnele dumnezeieştii iubirii</w:t>
      </w:r>
      <w:r w:rsidRPr="002B17E1">
        <w:t xml:space="preserve">, </w:t>
      </w:r>
      <w:r w:rsidRPr="002B17E1">
        <w:rPr>
          <w:i/>
        </w:rPr>
        <w:t>PG</w:t>
      </w:r>
      <w:r w:rsidRPr="002B17E1">
        <w:t xml:space="preserve">, 120, 509, la Vl. Lossky, </w:t>
      </w:r>
      <w:r w:rsidRPr="002B17E1">
        <w:rPr>
          <w:i/>
          <w:iCs/>
        </w:rPr>
        <w:t>op.cit.</w:t>
      </w:r>
      <w:r w:rsidRPr="002B17E1">
        <w:t>, p. 198.</w:t>
      </w:r>
    </w:p>
  </w:footnote>
  <w:footnote w:id="11">
    <w:p w:rsidR="002B17E1" w:rsidRPr="002B17E1" w:rsidRDefault="002B17E1" w:rsidP="002B17E1">
      <w:pPr>
        <w:pStyle w:val="FootnoteText"/>
        <w:jc w:val="both"/>
      </w:pPr>
      <w:r w:rsidRPr="002B17E1">
        <w:rPr>
          <w:rStyle w:val="FootnoteReference"/>
        </w:rPr>
        <w:footnoteRef/>
      </w:r>
      <w:r w:rsidRPr="002B17E1">
        <w:rPr>
          <w:i/>
          <w:iCs/>
        </w:rPr>
        <w:t xml:space="preserve"> </w:t>
      </w:r>
      <w:r w:rsidRPr="002B17E1">
        <w:rPr>
          <w:b/>
          <w:bCs/>
        </w:rPr>
        <w:t>Discursuri etice</w:t>
      </w:r>
      <w:r w:rsidRPr="002B17E1">
        <w:t xml:space="preserve">, 7, 311, 333, t.r. </w:t>
      </w:r>
      <w:r w:rsidRPr="002B17E1">
        <w:rPr>
          <w:i/>
        </w:rPr>
        <w:t>Discursuri teologice şi etice</w:t>
      </w:r>
      <w:r w:rsidRPr="002B17E1">
        <w:t>, Editura Deisis,1998, p. 290.</w:t>
      </w:r>
    </w:p>
  </w:footnote>
  <w:footnote w:id="12">
    <w:p w:rsidR="002B17E1" w:rsidRPr="002B17E1" w:rsidRDefault="002B17E1" w:rsidP="002B17E1">
      <w:pPr>
        <w:pStyle w:val="FootnoteText"/>
        <w:jc w:val="both"/>
      </w:pPr>
      <w:r w:rsidRPr="002B17E1">
        <w:rPr>
          <w:rStyle w:val="FootnoteReference"/>
        </w:rPr>
        <w:footnoteRef/>
      </w:r>
      <w:r w:rsidRPr="002B17E1">
        <w:t xml:space="preserve"> Ibidem, 3, 104 –112;  p. 200.</w:t>
      </w:r>
    </w:p>
  </w:footnote>
  <w:footnote w:id="13">
    <w:p w:rsidR="002B17E1" w:rsidRPr="002B17E1" w:rsidRDefault="002B17E1" w:rsidP="002B17E1">
      <w:pPr>
        <w:pStyle w:val="FootnoteText"/>
        <w:jc w:val="both"/>
      </w:pPr>
      <w:r w:rsidRPr="002B17E1">
        <w:rPr>
          <w:rStyle w:val="FootnoteReference"/>
        </w:rPr>
        <w:footnoteRef/>
      </w:r>
      <w:r w:rsidRPr="002B17E1">
        <w:t xml:space="preserve"> Arhiepiscopul B. Krivocheine, </w:t>
      </w:r>
      <w:r w:rsidRPr="002B17E1">
        <w:rPr>
          <w:bCs/>
          <w:i/>
        </w:rPr>
        <w:t>În lumina lui Hristos, Sfântul Simeon Noul Teolog (949 – 1022). Viaţa – Spiritualitatea – Învăţătura</w:t>
      </w:r>
      <w:r w:rsidRPr="002B17E1">
        <w:rPr>
          <w:i/>
        </w:rPr>
        <w:t>,</w:t>
      </w:r>
      <w:r w:rsidRPr="002B17E1">
        <w:t xml:space="preserve"> t.r. Pr. dr. Vasile Leb şi Ierom. Gheorghe Iordan, EIBMBOR, 1997, în spec. pp. 282 – 302.</w:t>
      </w:r>
    </w:p>
  </w:footnote>
  <w:footnote w:id="14">
    <w:p w:rsidR="002B17E1" w:rsidRPr="002B17E1" w:rsidRDefault="002B17E1" w:rsidP="002B17E1">
      <w:pPr>
        <w:pStyle w:val="FootnoteText"/>
        <w:jc w:val="both"/>
      </w:pPr>
      <w:r w:rsidRPr="002B17E1">
        <w:rPr>
          <w:rStyle w:val="FootnoteReference"/>
        </w:rPr>
        <w:footnoteRef/>
      </w:r>
      <w:r w:rsidRPr="002B17E1">
        <w:t xml:space="preserve"> </w:t>
      </w:r>
      <w:r w:rsidRPr="002B17E1">
        <w:rPr>
          <w:bCs/>
          <w:i/>
        </w:rPr>
        <w:t>Imn</w:t>
      </w:r>
      <w:r w:rsidRPr="002B17E1">
        <w:rPr>
          <w:i/>
          <w:iCs/>
        </w:rPr>
        <w:t xml:space="preserve"> </w:t>
      </w:r>
      <w:r w:rsidRPr="002B17E1">
        <w:t xml:space="preserve">34, 83 – 97, </w:t>
      </w:r>
      <w:r w:rsidRPr="002B17E1">
        <w:rPr>
          <w:i/>
        </w:rPr>
        <w:t>t.r.cit.</w:t>
      </w:r>
      <w:r w:rsidRPr="002B17E1">
        <w:t xml:space="preserve"> pp. 561 – 562. Traducătorul imnelor, Părintele Stăniloae, scrie în nota explicativă: “N-au putut stabili învăţătura despre Sfânta Treime şi n-au putut vorbi exact despre Ea, cei în care n-a vorbit Sfânta Treime Însăşi despre Ea, cei ce n-au simţit-o, făcându-i asemenea Ei. Nu poate vorbi în mod drept despre Dumnezeu cel în care nu este Dumnezeu, ca să vorbească El însuşi despre Sine. De aceea, </w:t>
      </w:r>
      <w:r w:rsidRPr="002B17E1">
        <w:rPr>
          <w:spacing w:val="-2"/>
        </w:rPr>
        <w:t>spuneau Părinţii în sinoade «Părutu-s-a Duhului Sfânt şi nouă» sau: «Socotit-</w:t>
      </w:r>
      <w:r w:rsidRPr="002B17E1">
        <w:t>a Duhul Sfânt şi noi» (Duhul Sfânt şi noi am hotărât). Omul închinat lui Dumnezeu are pe Dumnezeu Cel în Treime ca Subiect vorbind în el sau el se face subiect al vorbirii lui Dumnezeu despre Sine. Numai cei în care a fost Dumnezeu, Cel în Treime, au putut vedea strâm</w:t>
      </w:r>
      <w:r w:rsidRPr="002B17E1">
        <w:softHyphen/>
        <w:t>bătatea ereziilor contrare Treimii. La fel, nu este cineva sfânt, dacă nu e Duhul Sfânt cu puterea Lui curăţitoare în el.”</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defaultTabStop w:val="720"/>
  <w:characterSpacingControl w:val="doNotCompress"/>
  <w:footnotePr>
    <w:footnote w:id="0"/>
    <w:footnote w:id="1"/>
  </w:footnotePr>
  <w:endnotePr>
    <w:endnote w:id="0"/>
    <w:endnote w:id="1"/>
  </w:endnotePr>
  <w:compat/>
  <w:rsids>
    <w:rsidRoot w:val="002B17E1"/>
    <w:rsid w:val="002B17E1"/>
    <w:rsid w:val="004836E6"/>
    <w:rsid w:val="00664613"/>
    <w:rsid w:val="00AC72A3"/>
    <w:rsid w:val="00B65D42"/>
    <w:rsid w:val="00D76875"/>
    <w:rsid w:val="00EC548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17E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2B17E1"/>
    <w:rPr>
      <w:sz w:val="20"/>
      <w:szCs w:val="20"/>
    </w:rPr>
  </w:style>
  <w:style w:type="character" w:customStyle="1" w:styleId="FootnoteTextChar">
    <w:name w:val="Footnote Text Char"/>
    <w:basedOn w:val="DefaultParagraphFont"/>
    <w:link w:val="FootnoteText"/>
    <w:rsid w:val="002B17E1"/>
    <w:rPr>
      <w:rFonts w:ascii="Times New Roman" w:eastAsia="Times New Roman" w:hAnsi="Times New Roman" w:cs="Times New Roman"/>
      <w:sz w:val="20"/>
      <w:szCs w:val="20"/>
    </w:rPr>
  </w:style>
  <w:style w:type="character" w:styleId="FootnoteReference">
    <w:name w:val="footnote reference"/>
    <w:basedOn w:val="DefaultParagraphFont"/>
    <w:semiHidden/>
    <w:unhideWhenUsed/>
    <w:rsid w:val="002B17E1"/>
    <w:rPr>
      <w:vertAlign w:val="superscript"/>
    </w:rPr>
  </w:style>
  <w:style w:type="paragraph" w:styleId="BodyText">
    <w:name w:val="Body Text"/>
    <w:basedOn w:val="Normal"/>
    <w:link w:val="BodyTextChar"/>
    <w:uiPriority w:val="99"/>
    <w:unhideWhenUsed/>
    <w:rsid w:val="002B17E1"/>
    <w:pPr>
      <w:spacing w:after="120"/>
    </w:pPr>
  </w:style>
  <w:style w:type="character" w:customStyle="1" w:styleId="BodyTextChar">
    <w:name w:val="Body Text Char"/>
    <w:basedOn w:val="DefaultParagraphFont"/>
    <w:link w:val="BodyText"/>
    <w:uiPriority w:val="99"/>
    <w:rsid w:val="002B17E1"/>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2091</Words>
  <Characters>11921</Characters>
  <Application>Microsoft Office Word</Application>
  <DocSecurity>0</DocSecurity>
  <Lines>99</Lines>
  <Paragraphs>27</Paragraphs>
  <ScaleCrop>false</ScaleCrop>
  <Company/>
  <LinksUpToDate>false</LinksUpToDate>
  <CharactersWithSpaces>13985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NM</dc:creator>
  <cp:keywords/>
  <dc:description/>
  <cp:lastModifiedBy>NM</cp:lastModifiedBy>
  <cp:revision>2</cp:revision>
  <cp:lastPrinted>2013-12-08T19:16:00Z</cp:lastPrinted>
  <dcterms:created xsi:type="dcterms:W3CDTF">2013-12-08T19:14:00Z</dcterms:created>
  <dcterms:modified xsi:type="dcterms:W3CDTF">2013-12-08T19:18:00Z</dcterms:modified>
</cp:coreProperties>
</file>