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744" w:rsidRDefault="00572744" w:rsidP="00572744">
      <w:pPr>
        <w:ind w:left="-1350" w:right="-990"/>
        <w:jc w:val="center"/>
        <w:rPr>
          <w:b/>
          <w:szCs w:val="24"/>
        </w:rPr>
      </w:pPr>
    </w:p>
    <w:p w:rsidR="00572744" w:rsidRDefault="00572744" w:rsidP="00572744">
      <w:pPr>
        <w:ind w:left="-1350" w:right="-990"/>
        <w:rPr>
          <w:b/>
          <w:szCs w:val="24"/>
        </w:rPr>
      </w:pPr>
    </w:p>
    <w:p w:rsidR="00572744" w:rsidRPr="003E023F" w:rsidRDefault="00572744" w:rsidP="00572744">
      <w:pPr>
        <w:ind w:left="-1350" w:right="-990"/>
        <w:jc w:val="center"/>
        <w:rPr>
          <w:b/>
          <w:szCs w:val="24"/>
        </w:rPr>
      </w:pPr>
    </w:p>
    <w:p w:rsidR="00572744" w:rsidRPr="000B66B2" w:rsidRDefault="00572744" w:rsidP="00572744">
      <w:pPr>
        <w:rPr>
          <w:b/>
        </w:rPr>
      </w:pPr>
      <w:r w:rsidRPr="000B66B2">
        <w:rPr>
          <w:b/>
        </w:rPr>
        <w:t>Prozelitism sau ethos ecumenic?</w:t>
      </w:r>
      <w:r>
        <w:rPr>
          <w:b/>
        </w:rPr>
        <w:t xml:space="preserve"> </w:t>
      </w:r>
      <w:r w:rsidRPr="000B66B2">
        <w:rPr>
          <w:b/>
        </w:rPr>
        <w:t xml:space="preserve">Relaţiile interumane din perspectiva conceptului: </w:t>
      </w:r>
    </w:p>
    <w:p w:rsidR="00572744" w:rsidRPr="000B66B2" w:rsidRDefault="00572744" w:rsidP="00572744">
      <w:pPr>
        <w:ind w:left="2160" w:firstLine="720"/>
        <w:rPr>
          <w:b/>
        </w:rPr>
      </w:pPr>
      <w:r w:rsidRPr="000B66B2">
        <w:rPr>
          <w:b/>
        </w:rPr>
        <w:t>"sobornicitate deschisă</w:t>
      </w:r>
      <w:r w:rsidRPr="000B66B2">
        <w:rPr>
          <w:b/>
          <w:i/>
          <w:iCs/>
        </w:rPr>
        <w:t>"</w:t>
      </w:r>
    </w:p>
    <w:p w:rsidR="00572744" w:rsidRPr="00895BB6" w:rsidRDefault="00572744" w:rsidP="00572744">
      <w:pPr>
        <w:ind w:left="-1350" w:right="-990"/>
        <w:jc w:val="center"/>
        <w:rPr>
          <w:sz w:val="20"/>
        </w:rPr>
      </w:pPr>
    </w:p>
    <w:p w:rsidR="00572744" w:rsidRPr="00895BB6" w:rsidRDefault="00572744" w:rsidP="00572744">
      <w:pPr>
        <w:ind w:left="-1350" w:right="-990"/>
        <w:jc w:val="center"/>
        <w:rPr>
          <w:sz w:val="20"/>
        </w:rPr>
      </w:pPr>
      <w:r w:rsidRPr="00895BB6">
        <w:rPr>
          <w:sz w:val="20"/>
        </w:rPr>
        <w:t>Pr.conf.Nicolae Moşoiu, Facultatea de Teologie “Andrei Şaguna” din Sibiu</w:t>
      </w:r>
    </w:p>
    <w:p w:rsidR="00572744" w:rsidRPr="00B16519" w:rsidRDefault="00572744" w:rsidP="00572744">
      <w:pPr>
        <w:ind w:left="-1350" w:right="-990"/>
        <w:jc w:val="both"/>
        <w:rPr>
          <w:b/>
          <w:sz w:val="20"/>
        </w:rPr>
      </w:pPr>
    </w:p>
    <w:p w:rsidR="00572744" w:rsidRPr="00B16519" w:rsidRDefault="00572744" w:rsidP="00572744">
      <w:pPr>
        <w:ind w:left="-1350" w:right="-990"/>
        <w:jc w:val="both"/>
        <w:rPr>
          <w:b/>
          <w:sz w:val="20"/>
        </w:rPr>
      </w:pPr>
      <w:r w:rsidRPr="00B16519">
        <w:rPr>
          <w:b/>
          <w:sz w:val="20"/>
        </w:rPr>
        <w:t>Abstract</w:t>
      </w:r>
    </w:p>
    <w:p w:rsidR="00572744" w:rsidRPr="00B16519" w:rsidRDefault="00572744" w:rsidP="00572744">
      <w:pPr>
        <w:ind w:left="-1350" w:right="-990" w:firstLine="900"/>
        <w:jc w:val="both"/>
        <w:rPr>
          <w:b/>
          <w:sz w:val="20"/>
        </w:rPr>
      </w:pPr>
    </w:p>
    <w:p w:rsidR="00572744" w:rsidRPr="00B16519" w:rsidRDefault="00572744" w:rsidP="00572744">
      <w:pPr>
        <w:ind w:left="-1350" w:right="-990" w:firstLine="900"/>
        <w:jc w:val="both"/>
        <w:rPr>
          <w:sz w:val="20"/>
        </w:rPr>
      </w:pPr>
      <w:r w:rsidRPr="00B16519">
        <w:rPr>
          <w:color w:val="221B1B"/>
          <w:sz w:val="20"/>
        </w:rPr>
        <w:t>Within the ecumenical movement and the World Council of Churches the concern for common witness and the unity of the Churches has always been a priority, and proselytism has been recognized as a scandal and counterwitness.</w:t>
      </w:r>
      <w:r>
        <w:rPr>
          <w:color w:val="221B1B"/>
          <w:sz w:val="20"/>
        </w:rPr>
        <w:t xml:space="preserve"> </w:t>
      </w:r>
      <w:r w:rsidRPr="00B16519">
        <w:rPr>
          <w:sz w:val="20"/>
        </w:rPr>
        <w:t>The article is dealing with</w:t>
      </w:r>
      <w:r>
        <w:rPr>
          <w:sz w:val="20"/>
        </w:rPr>
        <w:t xml:space="preserve">: the concept of </w:t>
      </w:r>
      <w:r w:rsidRPr="00B16519">
        <w:rPr>
          <w:sz w:val="20"/>
        </w:rPr>
        <w:t>ecumenical ethos</w:t>
      </w:r>
      <w:r>
        <w:rPr>
          <w:sz w:val="20"/>
        </w:rPr>
        <w:t xml:space="preserve">, of </w:t>
      </w:r>
      <w:r>
        <w:rPr>
          <w:i/>
          <w:sz w:val="20"/>
        </w:rPr>
        <w:t xml:space="preserve">missio Dei Triunius, </w:t>
      </w:r>
      <w:r>
        <w:rPr>
          <w:sz w:val="20"/>
        </w:rPr>
        <w:t>the Orthodox contribution to the ecumenical movement and with</w:t>
      </w:r>
      <w:r>
        <w:rPr>
          <w:i/>
          <w:sz w:val="20"/>
        </w:rPr>
        <w:t xml:space="preserve"> </w:t>
      </w:r>
      <w:r w:rsidRPr="00B16519">
        <w:rPr>
          <w:sz w:val="20"/>
        </w:rPr>
        <w:t xml:space="preserve"> Fr</w:t>
      </w:r>
      <w:r>
        <w:rPr>
          <w:sz w:val="20"/>
        </w:rPr>
        <w:t xml:space="preserve">. </w:t>
      </w:r>
      <w:r w:rsidRPr="00B16519">
        <w:rPr>
          <w:sz w:val="20"/>
        </w:rPr>
        <w:t>Stanilo</w:t>
      </w:r>
      <w:r>
        <w:rPr>
          <w:sz w:val="20"/>
        </w:rPr>
        <w:t>a</w:t>
      </w:r>
      <w:r w:rsidRPr="00B16519">
        <w:rPr>
          <w:sz w:val="20"/>
        </w:rPr>
        <w:t>e</w:t>
      </w:r>
      <w:r>
        <w:rPr>
          <w:sz w:val="20"/>
        </w:rPr>
        <w:t>’s vision on</w:t>
      </w:r>
      <w:r w:rsidRPr="00B16519">
        <w:rPr>
          <w:sz w:val="20"/>
        </w:rPr>
        <w:t xml:space="preserve"> </w:t>
      </w:r>
      <w:r w:rsidRPr="00B16519">
        <w:rPr>
          <w:i/>
          <w:iCs/>
          <w:sz w:val="20"/>
        </w:rPr>
        <w:t xml:space="preserve">open sobornicity </w:t>
      </w:r>
      <w:r w:rsidRPr="00B16519">
        <w:rPr>
          <w:iCs/>
          <w:sz w:val="20"/>
        </w:rPr>
        <w:t>(conciliarity)</w:t>
      </w:r>
      <w:r>
        <w:rPr>
          <w:iCs/>
          <w:sz w:val="20"/>
        </w:rPr>
        <w:t xml:space="preserve"> which would mean</w:t>
      </w:r>
      <w:r w:rsidRPr="00B16519">
        <w:rPr>
          <w:sz w:val="20"/>
        </w:rPr>
        <w:t>: knowledge, understanding, living-experiencing, confessing, valuing and actualizing the Apostolic faith in its entirety</w:t>
      </w:r>
      <w:r>
        <w:rPr>
          <w:sz w:val="20"/>
        </w:rPr>
        <w:t xml:space="preserve"> (</w:t>
      </w:r>
      <w:r w:rsidRPr="00D55B99">
        <w:rPr>
          <w:i/>
          <w:sz w:val="20"/>
        </w:rPr>
        <w:t>catholicity</w:t>
      </w:r>
      <w:r>
        <w:rPr>
          <w:sz w:val="20"/>
        </w:rPr>
        <w:t>)</w:t>
      </w:r>
      <w:r w:rsidRPr="00B16519">
        <w:rPr>
          <w:sz w:val="20"/>
        </w:rPr>
        <w:t xml:space="preserve"> to which all Christians are called</w:t>
      </w:r>
      <w:r>
        <w:rPr>
          <w:sz w:val="20"/>
        </w:rPr>
        <w:t>.</w:t>
      </w:r>
      <w:r w:rsidRPr="00B16519">
        <w:rPr>
          <w:sz w:val="20"/>
        </w:rPr>
        <w:t xml:space="preserve"> </w:t>
      </w:r>
      <w:r>
        <w:rPr>
          <w:sz w:val="20"/>
        </w:rPr>
        <w:t xml:space="preserve"> </w:t>
      </w:r>
    </w:p>
    <w:p w:rsidR="00572744" w:rsidRPr="00B16519" w:rsidRDefault="00572744" w:rsidP="00572744">
      <w:pPr>
        <w:ind w:left="-1350" w:right="-990"/>
        <w:jc w:val="both"/>
        <w:rPr>
          <w:sz w:val="20"/>
        </w:rPr>
      </w:pPr>
    </w:p>
    <w:p w:rsidR="00572744" w:rsidRPr="00B16519" w:rsidRDefault="00572744" w:rsidP="00572744">
      <w:pPr>
        <w:ind w:left="-1350" w:right="-432"/>
        <w:rPr>
          <w:sz w:val="20"/>
        </w:rPr>
      </w:pPr>
      <w:r w:rsidRPr="00B16519">
        <w:rPr>
          <w:b/>
          <w:sz w:val="20"/>
        </w:rPr>
        <w:t>Key words</w:t>
      </w:r>
      <w:r w:rsidRPr="00B16519">
        <w:rPr>
          <w:sz w:val="20"/>
        </w:rPr>
        <w:t xml:space="preserve">:  ecumenical ethos, </w:t>
      </w:r>
      <w:r w:rsidRPr="00B16519">
        <w:rPr>
          <w:i/>
          <w:sz w:val="20"/>
        </w:rPr>
        <w:t>missio Dei Triunius</w:t>
      </w:r>
      <w:r>
        <w:rPr>
          <w:i/>
          <w:sz w:val="20"/>
        </w:rPr>
        <w:t>,</w:t>
      </w:r>
      <w:r w:rsidRPr="00B16519">
        <w:rPr>
          <w:sz w:val="20"/>
        </w:rPr>
        <w:t xml:space="preserve"> </w:t>
      </w:r>
      <w:r w:rsidRPr="00B16519">
        <w:rPr>
          <w:iCs/>
          <w:sz w:val="20"/>
        </w:rPr>
        <w:t>the four biblical fundamentals of the Church (</w:t>
      </w:r>
      <w:r w:rsidRPr="00B16519">
        <w:rPr>
          <w:i/>
          <w:sz w:val="20"/>
        </w:rPr>
        <w:t>Acts</w:t>
      </w:r>
      <w:r w:rsidRPr="00B16519">
        <w:rPr>
          <w:sz w:val="20"/>
        </w:rPr>
        <w:t xml:space="preserve"> 2:42), o</w:t>
      </w:r>
      <w:r>
        <w:rPr>
          <w:sz w:val="20"/>
        </w:rPr>
        <w:t>pen sobornicity (conciliarity)</w:t>
      </w:r>
    </w:p>
    <w:p w:rsidR="00572744" w:rsidRPr="00931D1B" w:rsidRDefault="00572744" w:rsidP="00572744">
      <w:pPr>
        <w:ind w:left="-1350" w:right="-990"/>
        <w:jc w:val="both"/>
        <w:rPr>
          <w:sz w:val="20"/>
        </w:rPr>
      </w:pPr>
    </w:p>
    <w:p w:rsidR="00572744" w:rsidRDefault="00572744" w:rsidP="00572744">
      <w:pPr>
        <w:ind w:left="-1350" w:right="-990"/>
        <w:jc w:val="both"/>
        <w:rPr>
          <w:sz w:val="20"/>
        </w:rPr>
      </w:pPr>
    </w:p>
    <w:p w:rsidR="00572744" w:rsidRPr="00895BB6" w:rsidRDefault="00572744" w:rsidP="00572744">
      <w:pPr>
        <w:ind w:left="-1350" w:right="-990"/>
        <w:jc w:val="both"/>
        <w:rPr>
          <w:sz w:val="20"/>
        </w:rPr>
      </w:pPr>
    </w:p>
    <w:p w:rsidR="00572744" w:rsidRPr="003E023F" w:rsidRDefault="00572744" w:rsidP="00572744">
      <w:pPr>
        <w:ind w:left="-1350" w:right="-990"/>
        <w:jc w:val="both"/>
        <w:rPr>
          <w:i/>
          <w:szCs w:val="24"/>
        </w:rPr>
      </w:pPr>
      <w:r>
        <w:rPr>
          <w:i/>
          <w:szCs w:val="24"/>
        </w:rPr>
        <w:t>1.</w:t>
      </w:r>
      <w:r w:rsidRPr="003E023F">
        <w:rPr>
          <w:i/>
          <w:szCs w:val="24"/>
        </w:rPr>
        <w:t>Contextul actual</w:t>
      </w:r>
    </w:p>
    <w:p w:rsidR="00572744" w:rsidRPr="003E023F" w:rsidRDefault="00572744" w:rsidP="00572744">
      <w:pPr>
        <w:ind w:left="-1350" w:right="-990" w:firstLine="720"/>
        <w:jc w:val="both"/>
        <w:rPr>
          <w:i/>
          <w:szCs w:val="24"/>
        </w:rPr>
      </w:pPr>
    </w:p>
    <w:p w:rsidR="00572744" w:rsidRDefault="00572744" w:rsidP="00572744">
      <w:pPr>
        <w:ind w:left="-1350" w:right="-990" w:firstLine="720"/>
        <w:jc w:val="both"/>
        <w:rPr>
          <w:sz w:val="20"/>
          <w:lang w:val="pt-BR"/>
        </w:rPr>
      </w:pPr>
      <w:r w:rsidRPr="003E023F">
        <w:rPr>
          <w:i/>
          <w:szCs w:val="24"/>
        </w:rPr>
        <w:t>Ethos-</w:t>
      </w:r>
      <w:r w:rsidRPr="003E023F">
        <w:rPr>
          <w:szCs w:val="24"/>
        </w:rPr>
        <w:t>ul</w:t>
      </w:r>
      <w:r w:rsidRPr="003E023F">
        <w:rPr>
          <w:i/>
          <w:szCs w:val="24"/>
        </w:rPr>
        <w:t xml:space="preserve"> </w:t>
      </w:r>
      <w:r w:rsidRPr="003E023F">
        <w:rPr>
          <w:szCs w:val="24"/>
        </w:rPr>
        <w:t xml:space="preserve">ecumenic </w:t>
      </w:r>
      <w:r>
        <w:rPr>
          <w:szCs w:val="24"/>
        </w:rPr>
        <w:t xml:space="preserve">împreună cu preocuparea sinceră de păstrare a propriei identităţi, </w:t>
      </w:r>
      <w:r w:rsidRPr="003E023F">
        <w:rPr>
          <w:szCs w:val="24"/>
        </w:rPr>
        <w:t xml:space="preserve">ar trebui să </w:t>
      </w:r>
      <w:r>
        <w:rPr>
          <w:szCs w:val="24"/>
        </w:rPr>
        <w:t>reprezinte o temă principală</w:t>
      </w:r>
      <w:r w:rsidRPr="003E023F">
        <w:rPr>
          <w:szCs w:val="24"/>
        </w:rPr>
        <w:t xml:space="preserve"> acum, în epoca globalizării, când oameni de diferite confesiuni, religii şi culturi comunică uşor, se întâlnesc şi interacţionează. În acest context, cunoşterea şi respectul reciproc sunt vitale, iar accentul pe interculturalitate poate preveni hegemonia unei monoculturi. Cu un deceniu în urmă, Comisia pentru Misiune şi Evanghelizare (CWME), aparţinând Consiliului Ecumenic al Bisericilor, adopta documentul „Misiune şi evanghelizare în unitate astăzi” (</w:t>
      </w:r>
      <w:r w:rsidRPr="003E023F">
        <w:rPr>
          <w:i/>
          <w:szCs w:val="24"/>
        </w:rPr>
        <w:t>Mission and Evangelism in Unity Today</w:t>
      </w:r>
      <w:r w:rsidRPr="003E023F">
        <w:rPr>
          <w:szCs w:val="24"/>
        </w:rPr>
        <w:t>), în care se făcea şi o descriere clară</w:t>
      </w:r>
      <w:r>
        <w:rPr>
          <w:szCs w:val="24"/>
        </w:rPr>
        <w:t xml:space="preserve"> a fenomenului globalizării, dar se semnalează şi procesul accentuării exclusiviste a propriei confesiuni: </w:t>
      </w:r>
    </w:p>
    <w:p w:rsidR="00572744" w:rsidRPr="003E023F" w:rsidRDefault="00572744" w:rsidP="00572744">
      <w:pPr>
        <w:ind w:left="-1350" w:right="-990" w:firstLine="720"/>
        <w:jc w:val="both"/>
        <w:rPr>
          <w:snapToGrid w:val="0"/>
          <w:sz w:val="20"/>
          <w:lang w:val="it-IT"/>
        </w:rPr>
      </w:pPr>
      <w:r>
        <w:rPr>
          <w:i/>
          <w:szCs w:val="24"/>
        </w:rPr>
        <w:t>„</w:t>
      </w:r>
      <w:r>
        <w:rPr>
          <w:snapToGrid w:val="0"/>
          <w:sz w:val="20"/>
        </w:rPr>
        <w:t xml:space="preserve"> </w:t>
      </w:r>
      <w:r w:rsidRPr="0008263C">
        <w:rPr>
          <w:i/>
          <w:snapToGrid w:val="0"/>
          <w:sz w:val="20"/>
        </w:rPr>
        <w:t>După atâtea decenii de dialog ecumenic şi convieţuire, asistăm astăzi la o paradoxală renaştere a confesionalismului legat, cu siguranţă, de procesul de fragmentare. Denominaţiunile sunt considerate de unii semne ale bogăţiei de harisme şi daruri spirituale existente în casa lui Dumnezeu, atunci când contribuie la o mai bună înţelegere comună a Evangheliei şi a misiunii Bisericii în procesul ajungerii la unitate. Însă multe biserici par să fie mai preocupate cu afirmarea şi întărirea propriilor lor identităţi confesionale decât să participe la eforturile ecumenice</w:t>
      </w:r>
      <w:r>
        <w:rPr>
          <w:i/>
          <w:snapToGrid w:val="0"/>
          <w:sz w:val="20"/>
        </w:rPr>
        <w:t xml:space="preserve"> </w:t>
      </w:r>
      <w:r>
        <w:rPr>
          <w:snapToGrid w:val="0"/>
          <w:sz w:val="20"/>
        </w:rPr>
        <w:t>(s.n.).</w:t>
      </w:r>
      <w:r w:rsidRPr="003E023F">
        <w:rPr>
          <w:snapToGrid w:val="0"/>
          <w:sz w:val="20"/>
        </w:rPr>
        <w:t xml:space="preserve"> Unii preferă să-şi desfăşoare munca misionară şi diaconală singuri, independent sau chiar în competiţie cu alţii, iar numărul grupărilor creştine fundamentaliste şi anti-ecumenice par a fi în creştere. Noi mişcări religioase de diferite feluri se răspândesc peste tot, recrutându-şi adepţii din cadrul familiilor creştine tradiţionale, chiar şi din rândul membrilor activi. Bisericile şi învăţăturile lor sunt adesea atacate şi acuzate, în timp ce sunt promovate mesaj</w:t>
      </w:r>
      <w:r>
        <w:rPr>
          <w:snapToGrid w:val="0"/>
          <w:sz w:val="20"/>
        </w:rPr>
        <w:t>e noi, moderne şi mai atractive”</w:t>
      </w:r>
      <w:r w:rsidRPr="003E023F">
        <w:rPr>
          <w:rStyle w:val="FootnoteReference"/>
          <w:snapToGrid w:val="0"/>
          <w:sz w:val="20"/>
        </w:rPr>
        <w:footnoteReference w:id="1"/>
      </w:r>
      <w:r w:rsidRPr="003E023F">
        <w:rPr>
          <w:snapToGrid w:val="0"/>
          <w:sz w:val="20"/>
          <w:lang w:val="it-IT"/>
        </w:rPr>
        <w:t>.</w:t>
      </w:r>
      <w:r w:rsidRPr="003E023F">
        <w:rPr>
          <w:rStyle w:val="EndnoteReference"/>
          <w:snapToGrid w:val="0"/>
          <w:sz w:val="20"/>
          <w:lang w:val="it-IT"/>
        </w:rPr>
        <w:t xml:space="preserve"> </w:t>
      </w:r>
    </w:p>
    <w:p w:rsidR="00572744" w:rsidRPr="002231AD" w:rsidRDefault="00572744" w:rsidP="00572744">
      <w:pPr>
        <w:ind w:left="-1350" w:right="-990"/>
        <w:jc w:val="both"/>
        <w:rPr>
          <w:szCs w:val="24"/>
        </w:rPr>
      </w:pPr>
      <w:r>
        <w:rPr>
          <w:szCs w:val="24"/>
        </w:rPr>
        <w:t xml:space="preserve">          Totodată, accentuarea unui </w:t>
      </w:r>
      <w:r>
        <w:rPr>
          <w:i/>
          <w:szCs w:val="24"/>
        </w:rPr>
        <w:t>ehos</w:t>
      </w:r>
      <w:r>
        <w:rPr>
          <w:szCs w:val="24"/>
        </w:rPr>
        <w:t xml:space="preserve"> ecumenic în învăţământul teologic şi în cel religios din toate şcolile de stat, este un imperativ atât de ordin  didactic şi educativ, cât şi practic, deoarece, pe langă zonele geografice unde au convieţuit paşnic de secole românii cu maghiarii, cu saşii şi cu alte grupuri etnice, cadrul demografic general se schimbă, atât prin venirea şi chiar stabilirea la noi a unor oameni de alte confesiuni sau religii, cât mai ales prin plecarea masivă din ţară, fapt fără precedent, a cetăţenilor români, marea majoritate ortodocşi. Milioane de români au ajuns să vieţuiască (unii, din păcate, doar să supravieţuiască) în contexte culturale, confesionale şi chiar </w:t>
      </w:r>
      <w:r>
        <w:rPr>
          <w:szCs w:val="24"/>
        </w:rPr>
        <w:lastRenderedPageBreak/>
        <w:t xml:space="preserve">religioase noi, prin urmare toţi au nevoie de orientare corectă. Sunt numeroase cazurile în care le sunt oferite, cu multă bunăvoinţă, românilor din străinătate, locaşuri de cult pentru slujire alternativă sau chiar exclusivă. Viitorii preoţi care vor sluji în astfel de condiţii trebuie, de asemenea, să fie orientaţi cum se cuvine, trebuie să aibă un </w:t>
      </w:r>
      <w:r w:rsidRPr="002231AD">
        <w:rPr>
          <w:i/>
          <w:szCs w:val="24"/>
        </w:rPr>
        <w:t>ethos</w:t>
      </w:r>
      <w:r>
        <w:rPr>
          <w:szCs w:val="24"/>
        </w:rPr>
        <w:t xml:space="preserve"> ecumenic, deprins în mod sistematic în şcolile teologice. Prin urmare, </w:t>
      </w:r>
      <w:r w:rsidRPr="002231AD">
        <w:rPr>
          <w:i/>
          <w:szCs w:val="24"/>
        </w:rPr>
        <w:t>nu putem avea două discursuri paralele</w:t>
      </w:r>
      <w:r>
        <w:rPr>
          <w:i/>
          <w:szCs w:val="24"/>
        </w:rPr>
        <w:t>, unul aici în ţară, şi altul la conferinţele şi întâlnirile ecumenice din străinătate.</w:t>
      </w:r>
      <w:r>
        <w:rPr>
          <w:szCs w:val="24"/>
        </w:rPr>
        <w:t xml:space="preserve"> </w:t>
      </w:r>
    </w:p>
    <w:p w:rsidR="00572744" w:rsidRPr="003E023F" w:rsidRDefault="00572744" w:rsidP="00572744">
      <w:pPr>
        <w:ind w:right="-990"/>
        <w:jc w:val="both"/>
        <w:rPr>
          <w:szCs w:val="24"/>
        </w:rPr>
      </w:pPr>
    </w:p>
    <w:p w:rsidR="00572744" w:rsidRPr="008A6A29" w:rsidRDefault="00572744" w:rsidP="00572744">
      <w:pPr>
        <w:ind w:left="-1350" w:right="-990"/>
        <w:jc w:val="both"/>
        <w:rPr>
          <w:i/>
          <w:szCs w:val="24"/>
        </w:rPr>
      </w:pPr>
      <w:r>
        <w:rPr>
          <w:i/>
          <w:szCs w:val="24"/>
        </w:rPr>
        <w:t>2.</w:t>
      </w:r>
      <w:r w:rsidRPr="008A6A29">
        <w:rPr>
          <w:i/>
          <w:szCs w:val="24"/>
        </w:rPr>
        <w:t xml:space="preserve">Clarificări necesare şi imperativul de a participa la missio Dei Triunius, după modelul lui Hristos </w:t>
      </w:r>
      <w:r>
        <w:rPr>
          <w:i/>
          <w:szCs w:val="24"/>
        </w:rPr>
        <w:t xml:space="preserve"> </w:t>
      </w:r>
    </w:p>
    <w:p w:rsidR="00572744" w:rsidRDefault="00572744" w:rsidP="00572744">
      <w:pPr>
        <w:pStyle w:val="FootnoteText"/>
        <w:ind w:left="-1350" w:right="-990"/>
        <w:jc w:val="both"/>
        <w:rPr>
          <w:szCs w:val="24"/>
        </w:rPr>
      </w:pPr>
      <w:r w:rsidRPr="003E023F">
        <w:rPr>
          <w:szCs w:val="24"/>
        </w:rPr>
        <w:tab/>
      </w:r>
      <w:r>
        <w:rPr>
          <w:szCs w:val="24"/>
        </w:rPr>
        <w:t xml:space="preserve"> </w:t>
      </w:r>
    </w:p>
    <w:p w:rsidR="00572744" w:rsidRDefault="00572744" w:rsidP="00572744">
      <w:pPr>
        <w:pStyle w:val="FootnoteText"/>
        <w:ind w:left="-1350" w:right="-990"/>
        <w:jc w:val="both"/>
        <w:rPr>
          <w:szCs w:val="24"/>
        </w:rPr>
      </w:pPr>
      <w:r>
        <w:rPr>
          <w:szCs w:val="24"/>
        </w:rPr>
        <w:t xml:space="preserve">               Din perspectivă ortodoxă, d</w:t>
      </w:r>
      <w:r w:rsidRPr="003E023F">
        <w:rPr>
          <w:szCs w:val="24"/>
        </w:rPr>
        <w:t xml:space="preserve">acă </w:t>
      </w:r>
      <w:r>
        <w:rPr>
          <w:szCs w:val="24"/>
        </w:rPr>
        <w:t>s-ar</w:t>
      </w:r>
      <w:r w:rsidRPr="003E023F">
        <w:rPr>
          <w:szCs w:val="24"/>
        </w:rPr>
        <w:t xml:space="preserve"> aborda tema ecumenismului din punct de vedere strict doctrinar, şi </w:t>
      </w:r>
      <w:r>
        <w:rPr>
          <w:szCs w:val="24"/>
        </w:rPr>
        <w:t>s-ar face</w:t>
      </w:r>
      <w:r w:rsidRPr="003E023F">
        <w:rPr>
          <w:szCs w:val="24"/>
        </w:rPr>
        <w:t xml:space="preserve"> referi</w:t>
      </w:r>
      <w:r>
        <w:rPr>
          <w:szCs w:val="24"/>
        </w:rPr>
        <w:t>re</w:t>
      </w:r>
      <w:r w:rsidRPr="003E023F">
        <w:rPr>
          <w:szCs w:val="24"/>
        </w:rPr>
        <w:t xml:space="preserve"> la persoana şi opera lui Jaroslav Pelikan (1923-2006</w:t>
      </w:r>
      <w:r>
        <w:rPr>
          <w:szCs w:val="24"/>
        </w:rPr>
        <w:t xml:space="preserve">, </w:t>
      </w:r>
      <w:r w:rsidRPr="003E023F">
        <w:rPr>
          <w:szCs w:val="24"/>
        </w:rPr>
        <w:t>profesor la</w:t>
      </w:r>
      <w:r>
        <w:rPr>
          <w:szCs w:val="24"/>
        </w:rPr>
        <w:t xml:space="preserve"> prestigioasa</w:t>
      </w:r>
      <w:r w:rsidRPr="003E023F">
        <w:rPr>
          <w:szCs w:val="24"/>
        </w:rPr>
        <w:t xml:space="preserve"> Universitate Yale</w:t>
      </w:r>
      <w:r>
        <w:rPr>
          <w:szCs w:val="24"/>
        </w:rPr>
        <w:t xml:space="preserve"> din Statele Unite ale Americii</w:t>
      </w:r>
      <w:r w:rsidRPr="003E023F">
        <w:rPr>
          <w:szCs w:val="24"/>
        </w:rPr>
        <w:t>, cel mai important istoric al crezurilor şi dezvoltării doctrinei creştine</w:t>
      </w:r>
      <w:r>
        <w:rPr>
          <w:szCs w:val="24"/>
        </w:rPr>
        <w:t xml:space="preserve">, </w:t>
      </w:r>
      <w:r w:rsidRPr="003E023F">
        <w:rPr>
          <w:szCs w:val="24"/>
        </w:rPr>
        <w:t>luteran convertit la Ortodoxie în anul 1998</w:t>
      </w:r>
      <w:r w:rsidRPr="003E023F">
        <w:rPr>
          <w:rStyle w:val="FootnoteReference"/>
          <w:szCs w:val="24"/>
        </w:rPr>
        <w:footnoteReference w:id="2"/>
      </w:r>
      <w:r>
        <w:rPr>
          <w:szCs w:val="24"/>
        </w:rPr>
        <w:t>, când avea 75 de ani!)</w:t>
      </w:r>
      <w:r w:rsidRPr="003E023F">
        <w:rPr>
          <w:rStyle w:val="FootnoteReference"/>
          <w:szCs w:val="24"/>
        </w:rPr>
        <w:footnoteReference w:id="3"/>
      </w:r>
      <w:r w:rsidRPr="003E023F">
        <w:rPr>
          <w:szCs w:val="24"/>
        </w:rPr>
        <w:t xml:space="preserve">, </w:t>
      </w:r>
      <w:r>
        <w:rPr>
          <w:szCs w:val="24"/>
        </w:rPr>
        <w:t xml:space="preserve">cineva ar putea fi tentat, pe bună dreptate, să </w:t>
      </w:r>
      <w:r w:rsidRPr="003E023F">
        <w:rPr>
          <w:szCs w:val="24"/>
        </w:rPr>
        <w:t>afirma că lucrurile sunt încheiate, că</w:t>
      </w:r>
      <w:r>
        <w:rPr>
          <w:szCs w:val="24"/>
        </w:rPr>
        <w:t xml:space="preserve"> ortodocţii</w:t>
      </w:r>
      <w:r w:rsidRPr="003E023F">
        <w:rPr>
          <w:szCs w:val="24"/>
        </w:rPr>
        <w:t xml:space="preserve"> </w:t>
      </w:r>
      <w:r>
        <w:rPr>
          <w:szCs w:val="24"/>
        </w:rPr>
        <w:t>nu ar mai trebui să fie în dialog cu cei de alte confesiuni</w:t>
      </w:r>
      <w:r w:rsidRPr="003E023F">
        <w:rPr>
          <w:szCs w:val="24"/>
        </w:rPr>
        <w:t>.</w:t>
      </w:r>
    </w:p>
    <w:p w:rsidR="00572744" w:rsidRPr="003E023F" w:rsidRDefault="00572744" w:rsidP="00572744">
      <w:pPr>
        <w:pStyle w:val="FootnoteText"/>
        <w:ind w:left="-1350" w:right="-990"/>
        <w:jc w:val="both"/>
        <w:rPr>
          <w:szCs w:val="24"/>
          <w:lang w:val="en-US"/>
        </w:rPr>
      </w:pPr>
      <w:r>
        <w:rPr>
          <w:szCs w:val="24"/>
        </w:rPr>
        <w:t xml:space="preserve">         </w:t>
      </w:r>
      <w:r w:rsidRPr="003E023F">
        <w:rPr>
          <w:szCs w:val="24"/>
        </w:rPr>
        <w:t xml:space="preserve"> Jaroslav Pelikan declara: </w:t>
      </w:r>
      <w:r w:rsidRPr="003E023F">
        <w:rPr>
          <w:szCs w:val="24"/>
          <w:lang w:val="ro-RO"/>
        </w:rPr>
        <w:t>„Am fost luteranul care cunoştea cel mai bine Biserica Ortodoxă, iar acum sunt ortodoxul cu cea mai bună cunoaştere a lui Luther”</w:t>
      </w:r>
      <w:r>
        <w:rPr>
          <w:szCs w:val="24"/>
          <w:lang w:val="ro-RO"/>
        </w:rPr>
        <w:t>(</w:t>
      </w:r>
      <w:r w:rsidRPr="003E023F">
        <w:rPr>
          <w:i/>
          <w:szCs w:val="24"/>
          <w:lang w:val="en-US"/>
        </w:rPr>
        <w:t>I was the Lutheran with the greatest knowledge of the Orthodox Church, and now I am the Orthodox with the greatest knowledge of Luther</w:t>
      </w:r>
      <w:r>
        <w:rPr>
          <w:szCs w:val="24"/>
          <w:lang w:val="en-US"/>
        </w:rPr>
        <w:t>)</w:t>
      </w:r>
      <w:r w:rsidRPr="003E023F">
        <w:rPr>
          <w:rStyle w:val="FootnoteReference"/>
          <w:szCs w:val="24"/>
        </w:rPr>
        <w:footnoteReference w:id="4"/>
      </w:r>
      <w:r w:rsidRPr="003E023F">
        <w:rPr>
          <w:szCs w:val="24"/>
          <w:lang w:val="en-US"/>
        </w:rPr>
        <w:t>; întrucât a editat o mare parte a operei lui Luther în limba engleză.</w:t>
      </w:r>
      <w:r>
        <w:rPr>
          <w:szCs w:val="24"/>
          <w:lang w:val="en-US"/>
        </w:rPr>
        <w:t xml:space="preserve"> </w:t>
      </w:r>
      <w:r w:rsidRPr="003E023F">
        <w:rPr>
          <w:szCs w:val="24"/>
          <w:lang w:val="en-US"/>
        </w:rPr>
        <w:t>Spre deosebire de majoritatea istoricilor bisericeşti care s-au concentrat pe o anumită perioadă sau pe un anumit aspect, profesorul</w:t>
      </w:r>
      <w:r w:rsidRPr="003E023F">
        <w:rPr>
          <w:szCs w:val="24"/>
        </w:rPr>
        <w:t xml:space="preserve"> Jaroslav Pelikan este considerat a fi o autoritate în întreg domeniul istoriei bisericeşti. El a scris aproape patruzeci de cărţi şi vreo douăsprezece lucrări de referinţă, care acoperă întreaga istorie a creştinătăţii.</w:t>
      </w:r>
      <w:r w:rsidRPr="003E023F">
        <w:rPr>
          <w:szCs w:val="24"/>
          <w:lang w:val="en-US"/>
        </w:rPr>
        <w:t xml:space="preserve"> A primit distincţii onorifice din partea a patruzecişidouă de</w:t>
      </w:r>
      <w:r>
        <w:rPr>
          <w:szCs w:val="24"/>
          <w:lang w:val="en-US"/>
        </w:rPr>
        <w:t xml:space="preserve"> universităţi din toată lumea. </w:t>
      </w:r>
      <w:r w:rsidRPr="003E023F">
        <w:rPr>
          <w:szCs w:val="24"/>
          <w:lang w:val="en-US"/>
        </w:rPr>
        <w:t>A susţinut prelegeri în cadrul prestigioaselor “</w:t>
      </w:r>
      <w:r w:rsidRPr="003E023F">
        <w:rPr>
          <w:szCs w:val="24"/>
        </w:rPr>
        <w:t>Guifford Lectures” în Scoţia şi „Gilson Lectures” în Toronto. Fostul preşedinte al Statelor Unite ale Americii, Bill Clinton, l-a recomandat şi, la</w:t>
      </w:r>
      <w:r>
        <w:rPr>
          <w:szCs w:val="24"/>
        </w:rPr>
        <w:t xml:space="preserve"> vârsta de</w:t>
      </w:r>
      <w:r w:rsidRPr="003E023F">
        <w:rPr>
          <w:szCs w:val="24"/>
        </w:rPr>
        <w:t xml:space="preserve"> optzeci de ani, devenea director al “Institutions of Democracy Project” aparţinând fundaţiei Annenberg. În anul 2004, Biblioteca Congresului (</w:t>
      </w:r>
      <w:r w:rsidRPr="003E023F">
        <w:rPr>
          <w:i/>
          <w:szCs w:val="24"/>
        </w:rPr>
        <w:t>Library of Congress</w:t>
      </w:r>
      <w:r w:rsidRPr="003E023F">
        <w:rPr>
          <w:szCs w:val="24"/>
        </w:rPr>
        <w:t xml:space="preserve">) i-a decernat premiul </w:t>
      </w:r>
      <w:r w:rsidRPr="003E023F">
        <w:rPr>
          <w:i/>
          <w:szCs w:val="24"/>
        </w:rPr>
        <w:t>John W. Kluge</w:t>
      </w:r>
      <w:r w:rsidRPr="003E023F">
        <w:rPr>
          <w:szCs w:val="24"/>
        </w:rPr>
        <w:t xml:space="preserve"> pentru întreaga activitate. Distincţia se </w:t>
      </w:r>
      <w:r>
        <w:rPr>
          <w:szCs w:val="24"/>
        </w:rPr>
        <w:t>oferă</w:t>
      </w:r>
      <w:r w:rsidRPr="003E023F">
        <w:rPr>
          <w:szCs w:val="24"/>
        </w:rPr>
        <w:t xml:space="preserve"> în domenii unde nu se </w:t>
      </w:r>
      <w:r>
        <w:rPr>
          <w:szCs w:val="24"/>
        </w:rPr>
        <w:t>acordă</w:t>
      </w:r>
      <w:r w:rsidRPr="003E023F">
        <w:rPr>
          <w:szCs w:val="24"/>
        </w:rPr>
        <w:t xml:space="preserve"> premiul </w:t>
      </w:r>
      <w:r w:rsidRPr="003E023F">
        <w:rPr>
          <w:i/>
          <w:szCs w:val="24"/>
        </w:rPr>
        <w:t>Nobel</w:t>
      </w:r>
      <w:r w:rsidRPr="003E023F">
        <w:rPr>
          <w:szCs w:val="24"/>
        </w:rPr>
        <w:t>, mai precis în ştiinţe umaniste şi sociale</w:t>
      </w:r>
      <w:r w:rsidRPr="003E023F">
        <w:rPr>
          <w:rStyle w:val="FootnoteReference"/>
          <w:szCs w:val="24"/>
        </w:rPr>
        <w:footnoteReference w:id="5"/>
      </w:r>
      <w:r w:rsidRPr="003E023F">
        <w:rPr>
          <w:szCs w:val="24"/>
        </w:rPr>
        <w:t>; Jaroslav Pelikan a donat Institutului Ortodox „Sfântul Vladimir” din New York, de care a fost foarte ataşat în ultimii ani, cei cincisutedemii de dolari primiţi ca premiu.</w:t>
      </w:r>
    </w:p>
    <w:p w:rsidR="00572744" w:rsidRPr="003E023F" w:rsidRDefault="00572744" w:rsidP="00572744">
      <w:pPr>
        <w:ind w:left="-1350" w:right="-990"/>
        <w:jc w:val="both"/>
        <w:rPr>
          <w:szCs w:val="24"/>
        </w:rPr>
      </w:pPr>
      <w:r w:rsidRPr="003E023F">
        <w:rPr>
          <w:szCs w:val="24"/>
          <w:lang w:val="en-US"/>
        </w:rPr>
        <w:t xml:space="preserve">        În privinţa convertirii, profesorul </w:t>
      </w:r>
      <w:r w:rsidRPr="003E023F">
        <w:rPr>
          <w:szCs w:val="24"/>
        </w:rPr>
        <w:t>Jaroslav Pelikan</w:t>
      </w:r>
      <w:r w:rsidRPr="003E023F">
        <w:rPr>
          <w:szCs w:val="24"/>
          <w:lang w:val="en-US"/>
        </w:rPr>
        <w:t xml:space="preserve"> spunea: </w:t>
      </w:r>
      <w:r w:rsidRPr="003E023F">
        <w:rPr>
          <w:szCs w:val="24"/>
        </w:rPr>
        <w:t>“Am primit sute de invitaţii la interviuri, dar am decis să nu răspund la niciuna”</w:t>
      </w:r>
      <w:r>
        <w:rPr>
          <w:szCs w:val="24"/>
        </w:rPr>
        <w:t xml:space="preserve"> (</w:t>
      </w:r>
      <w:r w:rsidRPr="003E023F">
        <w:rPr>
          <w:i/>
          <w:szCs w:val="24"/>
          <w:lang w:val="en-US"/>
        </w:rPr>
        <w:t>I have received hundreds of requests for interviews and decided not to respond to any of them</w:t>
      </w:r>
      <w:r>
        <w:rPr>
          <w:szCs w:val="24"/>
          <w:lang w:val="en-US"/>
        </w:rPr>
        <w:t>)</w:t>
      </w:r>
      <w:r w:rsidRPr="003E023F">
        <w:rPr>
          <w:rStyle w:val="FootnoteReference"/>
          <w:szCs w:val="24"/>
          <w:lang w:val="en-US"/>
        </w:rPr>
        <w:footnoteReference w:id="6"/>
      </w:r>
      <w:r w:rsidRPr="003E023F">
        <w:rPr>
          <w:szCs w:val="24"/>
          <w:lang w:val="en-US"/>
        </w:rPr>
        <w:t>, poate pentru a nu-i răni pe membrii fostei sale confesiuni. E foarte posibil ca studierea în original a operei Părinţilor Capadocieni să fi fost factor determinant pentru convertirea sa</w:t>
      </w:r>
      <w:r w:rsidRPr="003E023F">
        <w:rPr>
          <w:rStyle w:val="FootnoteReference"/>
          <w:szCs w:val="24"/>
          <w:lang w:val="en-US"/>
        </w:rPr>
        <w:footnoteReference w:id="7"/>
      </w:r>
      <w:r w:rsidRPr="003E023F">
        <w:rPr>
          <w:szCs w:val="24"/>
          <w:lang w:val="en-US"/>
        </w:rPr>
        <w:t>. Unii membri ai familiei sale şi-l amintesc spunând că, de fapt, nu s-a convertit la Ortodoxie, ci  s-a întors la ea, “curăţind straturile propriei mele credinţe pentru a ieşi la suprafaţă Ortodoxia care fusese acolo dintotdeauna”</w:t>
      </w:r>
      <w:r>
        <w:rPr>
          <w:szCs w:val="24"/>
          <w:lang w:val="en-US"/>
        </w:rPr>
        <w:t xml:space="preserve"> </w:t>
      </w:r>
      <w:r w:rsidRPr="003E023F">
        <w:rPr>
          <w:szCs w:val="24"/>
          <w:lang w:val="en-US"/>
        </w:rPr>
        <w:t>(</w:t>
      </w:r>
      <w:r w:rsidRPr="003E023F">
        <w:rPr>
          <w:szCs w:val="24"/>
        </w:rPr>
        <w:t>he had not as much converted to Orthodoxy as „returned to it, peeling back the layers of my own belief to reveal the Orthodoxy that was always there”)</w:t>
      </w:r>
      <w:r w:rsidRPr="003E023F">
        <w:rPr>
          <w:szCs w:val="24"/>
          <w:vertAlign w:val="superscript"/>
        </w:rPr>
        <w:t xml:space="preserve"> </w:t>
      </w:r>
      <w:r w:rsidRPr="003E023F">
        <w:rPr>
          <w:rStyle w:val="FootnoteReference"/>
          <w:szCs w:val="24"/>
        </w:rPr>
        <w:footnoteReference w:id="8"/>
      </w:r>
      <w:r w:rsidRPr="003E023F">
        <w:rPr>
          <w:szCs w:val="24"/>
        </w:rPr>
        <w:t>.</w:t>
      </w:r>
      <w:hyperlink r:id="rId7" w:anchor="cite_note-2" w:history="1"/>
      <w:r w:rsidRPr="003E023F">
        <w:rPr>
          <w:szCs w:val="24"/>
          <w:vertAlign w:val="superscript"/>
        </w:rPr>
        <w:t xml:space="preserve"> </w:t>
      </w:r>
      <w:r w:rsidRPr="003E023F">
        <w:rPr>
          <w:szCs w:val="24"/>
          <w:lang w:val="en-US"/>
        </w:rPr>
        <w:t>Jaroslav Pelikan cita adesea</w:t>
      </w:r>
      <w:r>
        <w:rPr>
          <w:szCs w:val="24"/>
          <w:lang w:val="en-US"/>
        </w:rPr>
        <w:t xml:space="preserve"> </w:t>
      </w:r>
      <w:r w:rsidRPr="003E023F">
        <w:rPr>
          <w:szCs w:val="24"/>
          <w:lang w:val="en-US"/>
        </w:rPr>
        <w:t xml:space="preserve">din </w:t>
      </w:r>
      <w:r w:rsidRPr="003E023F">
        <w:rPr>
          <w:i/>
          <w:szCs w:val="24"/>
          <w:lang w:val="en-US"/>
        </w:rPr>
        <w:t>Faust</w:t>
      </w:r>
      <w:r w:rsidRPr="003E023F">
        <w:rPr>
          <w:szCs w:val="24"/>
          <w:lang w:val="en-US"/>
        </w:rPr>
        <w:t xml:space="preserve"> -ul lui </w:t>
      </w:r>
      <w:r w:rsidRPr="003E023F">
        <w:rPr>
          <w:szCs w:val="24"/>
        </w:rPr>
        <w:t>Goethe</w:t>
      </w:r>
      <w:r w:rsidRPr="003E023F">
        <w:rPr>
          <w:szCs w:val="24"/>
          <w:lang w:val="en-US"/>
        </w:rPr>
        <w:t xml:space="preserve">, inclusiv la ceremonia primirii premiului </w:t>
      </w:r>
      <w:r w:rsidRPr="003E023F">
        <w:rPr>
          <w:i/>
          <w:szCs w:val="24"/>
        </w:rPr>
        <w:t>Kluge,</w:t>
      </w:r>
      <w:r w:rsidRPr="003E023F">
        <w:rPr>
          <w:szCs w:val="24"/>
        </w:rPr>
        <w:t xml:space="preserve">: </w:t>
      </w:r>
      <w:r w:rsidRPr="003E023F">
        <w:rPr>
          <w:szCs w:val="24"/>
        </w:rPr>
        <w:lastRenderedPageBreak/>
        <w:t xml:space="preserve">„Ceea ce ai primit </w:t>
      </w:r>
      <w:r>
        <w:rPr>
          <w:szCs w:val="24"/>
        </w:rPr>
        <w:t xml:space="preserve">de la strămoşi, </w:t>
      </w:r>
      <w:r w:rsidRPr="003E023F">
        <w:rPr>
          <w:szCs w:val="24"/>
        </w:rPr>
        <w:t xml:space="preserve">consideră acum ca sarcină, şi astfel </w:t>
      </w:r>
      <w:r>
        <w:rPr>
          <w:szCs w:val="24"/>
        </w:rPr>
        <w:t>î</w:t>
      </w:r>
      <w:r w:rsidRPr="003E023F">
        <w:rPr>
          <w:szCs w:val="24"/>
        </w:rPr>
        <w:t>ţi vei împropria</w:t>
      </w:r>
      <w:r>
        <w:rPr>
          <w:szCs w:val="24"/>
        </w:rPr>
        <w:t xml:space="preserve"> moştenirea</w:t>
      </w:r>
      <w:r w:rsidRPr="003E023F">
        <w:rPr>
          <w:szCs w:val="24"/>
        </w:rPr>
        <w:t>” (</w:t>
      </w:r>
      <w:r w:rsidRPr="003E023F">
        <w:rPr>
          <w:i/>
          <w:szCs w:val="24"/>
        </w:rPr>
        <w:t>Was du ererbt von deinen Vaetern hast, Erwirb es um es zu besitzen; What you have as heritage take now as task, and thus you will make it your own</w:t>
      </w:r>
      <w:r w:rsidRPr="003E023F">
        <w:rPr>
          <w:szCs w:val="24"/>
        </w:rPr>
        <w:t xml:space="preserve">), deziderat împlinit de el în mod magistral. </w:t>
      </w:r>
    </w:p>
    <w:p w:rsidR="00572744" w:rsidRDefault="00572744" w:rsidP="00572744">
      <w:pPr>
        <w:ind w:left="-1350" w:right="-990" w:firstLine="709"/>
        <w:jc w:val="both"/>
        <w:rPr>
          <w:szCs w:val="24"/>
        </w:rPr>
      </w:pPr>
      <w:r w:rsidRPr="003E023F">
        <w:rPr>
          <w:szCs w:val="24"/>
        </w:rPr>
        <w:t>Dar</w:t>
      </w:r>
      <w:r>
        <w:rPr>
          <w:szCs w:val="24"/>
        </w:rPr>
        <w:t>,</w:t>
      </w:r>
      <w:r w:rsidRPr="003E023F">
        <w:rPr>
          <w:szCs w:val="24"/>
        </w:rPr>
        <w:t xml:space="preserve"> tot din perspectivă ortodoxă, de data aceasta nu din punct de vedere stric</w:t>
      </w:r>
      <w:r>
        <w:rPr>
          <w:szCs w:val="24"/>
        </w:rPr>
        <w:t>t</w:t>
      </w:r>
      <w:r w:rsidRPr="003E023F">
        <w:rPr>
          <w:szCs w:val="24"/>
        </w:rPr>
        <w:t xml:space="preserve"> doc</w:t>
      </w:r>
      <w:r>
        <w:rPr>
          <w:szCs w:val="24"/>
        </w:rPr>
        <w:t>trinar</w:t>
      </w:r>
      <w:r w:rsidRPr="003E023F">
        <w:rPr>
          <w:szCs w:val="24"/>
        </w:rPr>
        <w:t xml:space="preserve">, putem afirma </w:t>
      </w:r>
      <w:r>
        <w:rPr>
          <w:szCs w:val="24"/>
        </w:rPr>
        <w:t xml:space="preserve">că, </w:t>
      </w:r>
      <w:r w:rsidRPr="003E023F">
        <w:rPr>
          <w:szCs w:val="24"/>
        </w:rPr>
        <w:t xml:space="preserve">în pofida tuturor dificultăţilor întâmpinate de ortodocşi în cadrul mişcării ecumenice în general şi în Consiliul Ecumenic al Bisericilor, în special, </w:t>
      </w:r>
      <w:r w:rsidRPr="00A54647">
        <w:rPr>
          <w:i/>
          <w:szCs w:val="24"/>
        </w:rPr>
        <w:t xml:space="preserve">nu avem alternativă la dilaog şi la cunoaşterea reciprocă între creştini, dacă dorim într-adevăr </w:t>
      </w:r>
      <w:r>
        <w:rPr>
          <w:i/>
          <w:szCs w:val="24"/>
        </w:rPr>
        <w:t>realizarea</w:t>
      </w:r>
      <w:r w:rsidRPr="00A54647">
        <w:rPr>
          <w:i/>
          <w:szCs w:val="24"/>
        </w:rPr>
        <w:t xml:space="preserve"> unităţii văzute</w:t>
      </w:r>
      <w:r>
        <w:rPr>
          <w:szCs w:val="24"/>
        </w:rPr>
        <w:t>.</w:t>
      </w:r>
      <w:r w:rsidRPr="003E023F">
        <w:rPr>
          <w:szCs w:val="24"/>
        </w:rPr>
        <w:t xml:space="preserve"> Din nefericire, după entuziasmul primelor decenii de la întemeierea Consiliul Ecumenic al Bisericilor</w:t>
      </w:r>
      <w:r>
        <w:rPr>
          <w:szCs w:val="24"/>
        </w:rPr>
        <w:t xml:space="preserve"> (Amsterdam, </w:t>
      </w:r>
      <w:r w:rsidRPr="003E023F">
        <w:rPr>
          <w:szCs w:val="24"/>
        </w:rPr>
        <w:t xml:space="preserve">1948), entuziasm datorat ridicării anatemelor, Conciliului II Vatican, dialogurilor bilaterale ş.a., la începutul anilor ’90 au început să se exprime rezerve. </w:t>
      </w:r>
    </w:p>
    <w:p w:rsidR="00572744" w:rsidRDefault="00572744" w:rsidP="00572744">
      <w:pPr>
        <w:ind w:left="-1350" w:right="-990" w:firstLine="709"/>
        <w:jc w:val="both"/>
        <w:rPr>
          <w:szCs w:val="24"/>
        </w:rPr>
      </w:pPr>
      <w:r w:rsidRPr="003E023F">
        <w:rPr>
          <w:szCs w:val="24"/>
        </w:rPr>
        <w:t xml:space="preserve">În </w:t>
      </w:r>
      <w:r w:rsidRPr="003E023F">
        <w:rPr>
          <w:bCs/>
          <w:i/>
          <w:szCs w:val="24"/>
        </w:rPr>
        <w:t>Mesajul</w:t>
      </w:r>
      <w:r w:rsidRPr="003E023F">
        <w:rPr>
          <w:b/>
          <w:bCs/>
          <w:szCs w:val="24"/>
        </w:rPr>
        <w:t xml:space="preserve"> </w:t>
      </w:r>
      <w:r w:rsidRPr="003E023F">
        <w:rPr>
          <w:szCs w:val="24"/>
        </w:rPr>
        <w:t>adoptat de Întâistătătorii Bisericilor Ortodoxe, întruniţi la F</w:t>
      </w:r>
      <w:r w:rsidRPr="003E023F">
        <w:rPr>
          <w:szCs w:val="24"/>
        </w:rPr>
        <w:t>a</w:t>
      </w:r>
      <w:r w:rsidRPr="003E023F">
        <w:rPr>
          <w:szCs w:val="24"/>
        </w:rPr>
        <w:t xml:space="preserve">nar (15 martie, 1992), citim: </w:t>
      </w:r>
      <w:r w:rsidRPr="003E023F">
        <w:rPr>
          <w:i/>
          <w:szCs w:val="24"/>
        </w:rPr>
        <w:t>„Î</w:t>
      </w:r>
      <w:r w:rsidRPr="003E023F">
        <w:rPr>
          <w:i/>
          <w:iCs/>
          <w:szCs w:val="24"/>
        </w:rPr>
        <w:t>n acelaşi spirit, al grijii pentru unitatea tuturor celor care cred în Hristos, am participat la Mişcarea ecumenică din vremea noastră. Această participare s-a bazat pe convingerea că ortodocşii tr</w:t>
      </w:r>
      <w:r w:rsidRPr="003E023F">
        <w:rPr>
          <w:i/>
          <w:iCs/>
          <w:szCs w:val="24"/>
        </w:rPr>
        <w:t>e</w:t>
      </w:r>
      <w:r w:rsidRPr="003E023F">
        <w:rPr>
          <w:i/>
          <w:iCs/>
          <w:szCs w:val="24"/>
        </w:rPr>
        <w:t xml:space="preserve">buie să contribuie la restaurarea unităţii, cu toată puterea lor, dând mărturie faţă de Biserica cea una nedespărţită a Apostolilor, a Părinţilor şi a Sinoadelor ecumenice. În acelaşi timp, s-a sperat că, în vremuri de mare dificultăţi, Biserica Ortodoxă ar fi avut dreptul de a conta pe solidaritatea tuturor celor care cred în Hristos, solidaritate afirmată în mod constant ca fiind idealul principal al Mişcării ecumenice. Inspirată de spiritul reconcilierii, Biserica Ortodoxă a participat activ de zeci de ani la efortul de restaurare a </w:t>
      </w:r>
      <w:r w:rsidRPr="003E023F">
        <w:rPr>
          <w:bCs/>
          <w:i/>
          <w:iCs/>
          <w:szCs w:val="24"/>
        </w:rPr>
        <w:t>unităţii creştine,</w:t>
      </w:r>
      <w:r w:rsidRPr="003E023F">
        <w:rPr>
          <w:b/>
          <w:bCs/>
          <w:i/>
          <w:iCs/>
          <w:szCs w:val="24"/>
        </w:rPr>
        <w:t xml:space="preserve"> </w:t>
      </w:r>
      <w:r w:rsidRPr="003E023F">
        <w:rPr>
          <w:i/>
          <w:iCs/>
          <w:szCs w:val="24"/>
        </w:rPr>
        <w:t>care constituie o poruncă expresă şi sfântă a Domnului Hristos (In. 17, 21). Participarea Bisericii Ortodoxe în totalitatea ei la activitatea Consiliului Ecumenic al Bisericilor urmăre</w:t>
      </w:r>
      <w:r w:rsidRPr="003E023F">
        <w:rPr>
          <w:i/>
          <w:iCs/>
          <w:szCs w:val="24"/>
        </w:rPr>
        <w:t>ş</w:t>
      </w:r>
      <w:r w:rsidRPr="003E023F">
        <w:rPr>
          <w:i/>
          <w:iCs/>
          <w:szCs w:val="24"/>
        </w:rPr>
        <w:t>te tocmai acest obiectiv. Aceasta este raţiunea pentru care ea nu aprobă nici o tendinţă care ar submina obiectivul iniţial, de dragul altor interese sau motive. Din aceeaşi raţiune, ortodocşii dezaprobă cu tărie anumite evoluţii recente în cadrul contextului ecumenic, precum hirotonia femeilor întru preoţie şi folos</w:t>
      </w:r>
      <w:r w:rsidRPr="003E023F">
        <w:rPr>
          <w:i/>
          <w:iCs/>
          <w:szCs w:val="24"/>
        </w:rPr>
        <w:t>i</w:t>
      </w:r>
      <w:r w:rsidRPr="003E023F">
        <w:rPr>
          <w:i/>
          <w:iCs/>
          <w:szCs w:val="24"/>
        </w:rPr>
        <w:t>rea limbajului inclusiv în cazul referirii la Dumnezeu, ceea ce creează obstacole serioase în calea restaurării unităţii”</w:t>
      </w:r>
      <w:r w:rsidRPr="003E023F">
        <w:rPr>
          <w:szCs w:val="24"/>
        </w:rPr>
        <w:t>.</w:t>
      </w:r>
    </w:p>
    <w:p w:rsidR="00572744" w:rsidRPr="003E023F" w:rsidRDefault="00572744" w:rsidP="00572744">
      <w:pPr>
        <w:ind w:left="-1350" w:right="-990" w:firstLine="709"/>
        <w:jc w:val="both"/>
        <w:rPr>
          <w:szCs w:val="24"/>
        </w:rPr>
      </w:pPr>
      <w:r w:rsidRPr="003E023F">
        <w:rPr>
          <w:szCs w:val="24"/>
        </w:rPr>
        <w:t xml:space="preserve">   </w:t>
      </w:r>
      <w:r w:rsidRPr="003E023F">
        <w:rPr>
          <w:i/>
          <w:szCs w:val="24"/>
        </w:rPr>
        <w:t xml:space="preserve">Mesajul </w:t>
      </w:r>
      <w:r w:rsidRPr="003E023F">
        <w:rPr>
          <w:szCs w:val="24"/>
        </w:rPr>
        <w:t>din Patmos (februarie, 1995) al Întâistătătorilor face referire la aceeaşi problematică: „</w:t>
      </w:r>
      <w:r w:rsidRPr="003E023F">
        <w:rPr>
          <w:i/>
          <w:iCs/>
          <w:szCs w:val="24"/>
        </w:rPr>
        <w:t>din nefericire, criza şi deviaţiile din ultima vreme din Mişcarea ecumenică impun Bisericilor Ortodoxe datoria de a rezista acestor d</w:t>
      </w:r>
      <w:r w:rsidRPr="003E023F">
        <w:rPr>
          <w:i/>
          <w:iCs/>
          <w:szCs w:val="24"/>
        </w:rPr>
        <w:t>e</w:t>
      </w:r>
      <w:r w:rsidRPr="003E023F">
        <w:rPr>
          <w:i/>
          <w:iCs/>
          <w:szCs w:val="24"/>
        </w:rPr>
        <w:t xml:space="preserve">viaţii şi de a promova tradiţia autentică a Bisericii”. </w:t>
      </w:r>
      <w:r w:rsidRPr="003E023F">
        <w:rPr>
          <w:szCs w:val="24"/>
        </w:rPr>
        <w:t>Unele din aceste deviaţii sunt identificate: hirotonia femeilor, limbajul zis inclusiv cu referire la Dumnezeu, admiterea homosexualităţii şi lesbiani</w:t>
      </w:r>
      <w:r w:rsidRPr="003E023F">
        <w:rPr>
          <w:szCs w:val="24"/>
        </w:rPr>
        <w:t>s</w:t>
      </w:r>
      <w:r w:rsidRPr="003E023F">
        <w:rPr>
          <w:szCs w:val="24"/>
        </w:rPr>
        <w:t>mului ca orientări sexuale morale</w:t>
      </w:r>
      <w:r w:rsidRPr="003E023F">
        <w:rPr>
          <w:rStyle w:val="FootnoteReference"/>
          <w:szCs w:val="24"/>
        </w:rPr>
        <w:footnoteReference w:id="9"/>
      </w:r>
      <w:r w:rsidRPr="003E023F">
        <w:rPr>
          <w:szCs w:val="24"/>
        </w:rPr>
        <w:t xml:space="preserve">. </w:t>
      </w:r>
    </w:p>
    <w:p w:rsidR="00572744" w:rsidRPr="003E023F" w:rsidRDefault="00572744" w:rsidP="00572744">
      <w:pPr>
        <w:ind w:left="-1350" w:right="-990" w:firstLine="709"/>
        <w:jc w:val="both"/>
        <w:rPr>
          <w:szCs w:val="24"/>
        </w:rPr>
      </w:pPr>
      <w:r w:rsidRPr="003E023F">
        <w:rPr>
          <w:szCs w:val="24"/>
        </w:rPr>
        <w:t>Cu toate că o part</w:t>
      </w:r>
      <w:r>
        <w:rPr>
          <w:szCs w:val="24"/>
        </w:rPr>
        <w:t>e dintre nemulţumirile Bisericilor</w:t>
      </w:r>
      <w:r w:rsidRPr="003E023F">
        <w:rPr>
          <w:szCs w:val="24"/>
        </w:rPr>
        <w:t xml:space="preserve"> Ortodoxe s-au rezolvat prin Comisia specială instituită la a opta Adunare Gen</w:t>
      </w:r>
      <w:r>
        <w:rPr>
          <w:szCs w:val="24"/>
        </w:rPr>
        <w:t>e</w:t>
      </w:r>
      <w:r w:rsidRPr="003E023F">
        <w:rPr>
          <w:szCs w:val="24"/>
        </w:rPr>
        <w:t>rală a C</w:t>
      </w:r>
      <w:r>
        <w:rPr>
          <w:szCs w:val="24"/>
        </w:rPr>
        <w:t xml:space="preserve">onsiliului </w:t>
      </w:r>
      <w:r w:rsidRPr="003E023F">
        <w:rPr>
          <w:szCs w:val="24"/>
        </w:rPr>
        <w:t>E</w:t>
      </w:r>
      <w:r>
        <w:rPr>
          <w:szCs w:val="24"/>
        </w:rPr>
        <w:t xml:space="preserve">cumenic al </w:t>
      </w:r>
      <w:r w:rsidRPr="003E023F">
        <w:rPr>
          <w:szCs w:val="24"/>
        </w:rPr>
        <w:t>B</w:t>
      </w:r>
      <w:r>
        <w:rPr>
          <w:szCs w:val="24"/>
        </w:rPr>
        <w:t>isericilor (</w:t>
      </w:r>
      <w:r w:rsidRPr="003E023F">
        <w:rPr>
          <w:szCs w:val="24"/>
        </w:rPr>
        <w:t>Harare</w:t>
      </w:r>
      <w:r>
        <w:rPr>
          <w:szCs w:val="24"/>
        </w:rPr>
        <w:t>,</w:t>
      </w:r>
      <w:r w:rsidRPr="003E023F">
        <w:rPr>
          <w:szCs w:val="24"/>
        </w:rPr>
        <w:t>1998)</w:t>
      </w:r>
      <w:r w:rsidRPr="003E023F">
        <w:rPr>
          <w:rStyle w:val="FootnoteReference"/>
          <w:szCs w:val="24"/>
        </w:rPr>
        <w:footnoteReference w:id="10"/>
      </w:r>
      <w:r>
        <w:rPr>
          <w:szCs w:val="24"/>
        </w:rPr>
        <w:t xml:space="preserve"> </w:t>
      </w:r>
      <w:r w:rsidRPr="003E023F">
        <w:rPr>
          <w:szCs w:val="24"/>
        </w:rPr>
        <w:t>şi s-a condamnat oficial prozelitismul</w:t>
      </w:r>
      <w:r w:rsidRPr="003E023F">
        <w:rPr>
          <w:rStyle w:val="FootnoteReference"/>
          <w:szCs w:val="24"/>
        </w:rPr>
        <w:footnoteReference w:id="11"/>
      </w:r>
      <w:r w:rsidRPr="003E023F">
        <w:rPr>
          <w:szCs w:val="24"/>
        </w:rPr>
        <w:t>, rămân unele chestiuni foarte grave</w:t>
      </w:r>
      <w:r w:rsidRPr="003E023F">
        <w:rPr>
          <w:rStyle w:val="FootnoteReference"/>
          <w:szCs w:val="24"/>
        </w:rPr>
        <w:footnoteReference w:id="12"/>
      </w:r>
      <w:r w:rsidRPr="003E023F">
        <w:rPr>
          <w:szCs w:val="24"/>
        </w:rPr>
        <w:t>. Comitetul Central al C</w:t>
      </w:r>
      <w:r>
        <w:rPr>
          <w:szCs w:val="24"/>
        </w:rPr>
        <w:t xml:space="preserve">onsiliului </w:t>
      </w:r>
      <w:r w:rsidRPr="003E023F">
        <w:rPr>
          <w:szCs w:val="24"/>
        </w:rPr>
        <w:t>E</w:t>
      </w:r>
      <w:r>
        <w:rPr>
          <w:szCs w:val="24"/>
        </w:rPr>
        <w:t xml:space="preserve">cumenic al </w:t>
      </w:r>
      <w:r w:rsidRPr="003E023F">
        <w:rPr>
          <w:szCs w:val="24"/>
        </w:rPr>
        <w:t>B</w:t>
      </w:r>
      <w:r>
        <w:rPr>
          <w:szCs w:val="24"/>
        </w:rPr>
        <w:t>isericilor</w:t>
      </w:r>
      <w:r w:rsidRPr="003E023F">
        <w:rPr>
          <w:szCs w:val="24"/>
        </w:rPr>
        <w:t xml:space="preserve"> </w:t>
      </w:r>
      <w:r w:rsidRPr="003E023F">
        <w:rPr>
          <w:szCs w:val="24"/>
        </w:rPr>
        <w:lastRenderedPageBreak/>
        <w:t xml:space="preserve">elaborază şi dă publicităţii multe rezoluţii, dar cele mai importante şi mai aşteptate sunt cele legate de credinţă şi de viaţa </w:t>
      </w:r>
      <w:r>
        <w:rPr>
          <w:szCs w:val="24"/>
        </w:rPr>
        <w:t>morală a membrilor diferitelor B</w:t>
      </w:r>
      <w:r w:rsidRPr="003E023F">
        <w:rPr>
          <w:szCs w:val="24"/>
        </w:rPr>
        <w:t>iserici, care nu trebuie să uite nici o clipă cuvintele Domnului nostru Iisus Hristos:</w:t>
      </w:r>
    </w:p>
    <w:p w:rsidR="00572744" w:rsidRPr="003E023F" w:rsidRDefault="00572744" w:rsidP="00572744">
      <w:pPr>
        <w:ind w:left="-1350" w:right="-990" w:firstLine="709"/>
        <w:jc w:val="both"/>
        <w:rPr>
          <w:szCs w:val="24"/>
        </w:rPr>
      </w:pPr>
      <w:r w:rsidRPr="003E023F">
        <w:rPr>
          <w:szCs w:val="24"/>
        </w:rPr>
        <w:t>“</w:t>
      </w:r>
      <w:r w:rsidRPr="003E023F">
        <w:rPr>
          <w:rStyle w:val="googqs-tidbit1"/>
          <w:i/>
          <w:szCs w:val="24"/>
        </w:rPr>
        <w:t>Voi sunteţi sarea pământului; dacă sarea se va strica, cu ce se va săra? De nimic nu mai e bună decât să fie aruncată afară şi călcată în picioare de oameni</w:t>
      </w:r>
      <w:r w:rsidRPr="003E023F">
        <w:rPr>
          <w:rStyle w:val="googqs-tidbit1"/>
          <w:szCs w:val="24"/>
        </w:rPr>
        <w:t>” (</w:t>
      </w:r>
      <w:r w:rsidRPr="003E023F">
        <w:rPr>
          <w:rStyle w:val="googqs-tidbit1"/>
          <w:i/>
          <w:szCs w:val="24"/>
        </w:rPr>
        <w:t>Mt</w:t>
      </w:r>
      <w:r w:rsidRPr="003E023F">
        <w:rPr>
          <w:rStyle w:val="googqs-tidbit1"/>
          <w:szCs w:val="24"/>
        </w:rPr>
        <w:t>.5,13)</w:t>
      </w:r>
      <w:r w:rsidRPr="003E023F">
        <w:rPr>
          <w:rFonts w:ascii="Trebuchet MS" w:hAnsi="Trebuchet MS"/>
          <w:szCs w:val="24"/>
        </w:rPr>
        <w:t>.</w:t>
      </w:r>
    </w:p>
    <w:p w:rsidR="00572744" w:rsidRPr="003E023F" w:rsidRDefault="00572744" w:rsidP="00572744">
      <w:pPr>
        <w:ind w:left="-1350" w:right="-990" w:firstLine="709"/>
        <w:jc w:val="both"/>
        <w:rPr>
          <w:szCs w:val="24"/>
        </w:rPr>
      </w:pPr>
      <w:r w:rsidRPr="003E023F">
        <w:rPr>
          <w:szCs w:val="24"/>
        </w:rPr>
        <w:t xml:space="preserve"> </w:t>
      </w:r>
      <w:r>
        <w:rPr>
          <w:szCs w:val="24"/>
        </w:rPr>
        <w:t>Dar, p</w:t>
      </w:r>
      <w:r w:rsidRPr="003E023F">
        <w:rPr>
          <w:szCs w:val="24"/>
        </w:rPr>
        <w:t xml:space="preserve">entru a rămâne pe un ton constructiv şi optimist, </w:t>
      </w:r>
      <w:r>
        <w:rPr>
          <w:szCs w:val="24"/>
        </w:rPr>
        <w:t>totodată</w:t>
      </w:r>
      <w:r w:rsidRPr="003E023F">
        <w:rPr>
          <w:szCs w:val="24"/>
        </w:rPr>
        <w:t xml:space="preserve"> fiind exclusă orice tendinţă de relativizare a adevărului de credinţă şi morală, redăm finalul documentului “</w:t>
      </w:r>
      <w:r w:rsidRPr="003E023F">
        <w:rPr>
          <w:i/>
          <w:szCs w:val="24"/>
        </w:rPr>
        <w:t>Chemaţi să fim Biserica cea una</w:t>
      </w:r>
      <w:r w:rsidRPr="003E023F">
        <w:rPr>
          <w:szCs w:val="24"/>
        </w:rPr>
        <w:t>”, mesajul celei de a noua Adunări Generale a CEB (Porto Alegre, 2006):</w:t>
      </w:r>
    </w:p>
    <w:p w:rsidR="00572744" w:rsidRPr="009D0D47" w:rsidRDefault="00572744" w:rsidP="00572744">
      <w:pPr>
        <w:ind w:left="-1350" w:right="-990" w:firstLine="709"/>
        <w:jc w:val="both"/>
        <w:rPr>
          <w:sz w:val="20"/>
        </w:rPr>
      </w:pPr>
      <w:r w:rsidRPr="003E023F">
        <w:rPr>
          <w:szCs w:val="24"/>
        </w:rPr>
        <w:t xml:space="preserve"> „</w:t>
      </w:r>
      <w:r w:rsidRPr="009D0D47">
        <w:rPr>
          <w:sz w:val="20"/>
        </w:rPr>
        <w:t>De-a lungul istoriei sale, Consiliul Ecumenic al Bisericilor a fost un in</w:t>
      </w:r>
      <w:r>
        <w:rPr>
          <w:sz w:val="20"/>
        </w:rPr>
        <w:t>strument privilegiat prin care B</w:t>
      </w:r>
      <w:r w:rsidRPr="009D0D47">
        <w:rPr>
          <w:sz w:val="20"/>
        </w:rPr>
        <w:t xml:space="preserve">isericile au fost capabile să se asculte una pe cealaltă şi să-şi vorbească una celeilalte, să </w:t>
      </w:r>
      <w:r>
        <w:rPr>
          <w:sz w:val="20"/>
        </w:rPr>
        <w:t>dezbată probleme care provoacă B</w:t>
      </w:r>
      <w:r w:rsidRPr="009D0D47">
        <w:rPr>
          <w:sz w:val="20"/>
        </w:rPr>
        <w:t>isericile şi pun în pericol umanitatea. Bisericile în mişcarea ecumenică au explorat, de asemenea, chestiunile care le separă, prin dialoguri multilate</w:t>
      </w:r>
      <w:r>
        <w:rPr>
          <w:sz w:val="20"/>
        </w:rPr>
        <w:t>rale şi bilaterale. Şi totuşi, B</w:t>
      </w:r>
      <w:r w:rsidRPr="009D0D47">
        <w:rPr>
          <w:sz w:val="20"/>
        </w:rPr>
        <w:t xml:space="preserve">isericile nu au reuşit întotdeauna să-şi recunoască </w:t>
      </w:r>
      <w:r w:rsidRPr="009D0D47">
        <w:rPr>
          <w:i/>
          <w:sz w:val="20"/>
        </w:rPr>
        <w:t xml:space="preserve">răspunderea reciprocă </w:t>
      </w:r>
      <w:r w:rsidRPr="009D0D47">
        <w:rPr>
          <w:sz w:val="20"/>
        </w:rPr>
        <w:t>şi nu au recunoscut întotdeauna nevoia de a da socoteală una celeilalte în privinţa credinţei, vieţii şi mărturisirii lor, şi de a identifica factorii care le ţin despărţite. Fiind conştienţi de experienţa vieţii pe care, deja, o împărtăşim şi de realizările dialogurilor multilaterale şi bilaterale, acum este timpul ca împreună să facem paşi concreţi.</w:t>
      </w:r>
    </w:p>
    <w:p w:rsidR="00572744" w:rsidRPr="003E023F" w:rsidRDefault="00572744" w:rsidP="00572744">
      <w:pPr>
        <w:ind w:left="-1350" w:right="-990" w:firstLine="709"/>
        <w:jc w:val="both"/>
        <w:rPr>
          <w:szCs w:val="24"/>
        </w:rPr>
      </w:pPr>
      <w:r w:rsidRPr="009D0D47">
        <w:rPr>
          <w:sz w:val="20"/>
        </w:rPr>
        <w:t>Prin urmare, cea de a Noua Adunare Generală</w:t>
      </w:r>
      <w:r>
        <w:rPr>
          <w:sz w:val="20"/>
        </w:rPr>
        <w:t xml:space="preserve"> </w:t>
      </w:r>
      <w:r w:rsidRPr="009D0D47">
        <w:rPr>
          <w:sz w:val="20"/>
        </w:rPr>
        <w:t>f</w:t>
      </w:r>
      <w:r>
        <w:rPr>
          <w:sz w:val="20"/>
        </w:rPr>
        <w:t>a</w:t>
      </w:r>
      <w:r w:rsidRPr="009D0D47">
        <w:rPr>
          <w:sz w:val="20"/>
        </w:rPr>
        <w:t xml:space="preserve">cea apel la Consiliul Ecumenic al Bisericilor să continue să faciliteze </w:t>
      </w:r>
      <w:r w:rsidRPr="009D0D47">
        <w:rPr>
          <w:i/>
          <w:sz w:val="20"/>
        </w:rPr>
        <w:t xml:space="preserve">conversaţiile profunde </w:t>
      </w:r>
      <w:r>
        <w:rPr>
          <w:sz w:val="20"/>
        </w:rPr>
        <w:t>între diferitele B</w:t>
      </w:r>
      <w:r w:rsidRPr="009D0D47">
        <w:rPr>
          <w:sz w:val="20"/>
        </w:rPr>
        <w:t xml:space="preserve">iserici. De asemenea, invita toate </w:t>
      </w:r>
      <w:r>
        <w:rPr>
          <w:sz w:val="20"/>
        </w:rPr>
        <w:t>B</w:t>
      </w:r>
      <w:r w:rsidRPr="009D0D47">
        <w:rPr>
          <w:sz w:val="20"/>
        </w:rPr>
        <w:t>isericile să se angajeze în sarcina dificilă de a oferi un raport sincer cu privire la relaţia dintre credinţa şi constituţia (structura) lor şi cred</w:t>
      </w:r>
      <w:r>
        <w:rPr>
          <w:sz w:val="20"/>
        </w:rPr>
        <w:t>inţa şi constituţia celorlalte Biserici. Fiecare B</w:t>
      </w:r>
      <w:r w:rsidRPr="009D0D47">
        <w:rPr>
          <w:sz w:val="20"/>
        </w:rPr>
        <w:t xml:space="preserve">iserică este chemată să identifice judecăţile care dau formă, şi chiar califică, relaţia sa cu celelalte. Împărtăşirea sinceră a celor comune, a divergenţelor şi </w:t>
      </w:r>
      <w:r>
        <w:rPr>
          <w:sz w:val="20"/>
        </w:rPr>
        <w:t>a diferenţelor, va ajuta toate B</w:t>
      </w:r>
      <w:r w:rsidRPr="009D0D47">
        <w:rPr>
          <w:sz w:val="20"/>
        </w:rPr>
        <w:t>isericile să îndeplinească obiectivele care aduc pace şi zidesc viaţa comună</w:t>
      </w:r>
      <w:r>
        <w:rPr>
          <w:sz w:val="20"/>
        </w:rPr>
        <w:t xml:space="preserve">” </w:t>
      </w:r>
      <w:r w:rsidRPr="002231AD">
        <w:rPr>
          <w:rStyle w:val="FootnoteReference"/>
          <w:sz w:val="20"/>
        </w:rPr>
        <w:footnoteReference w:id="13"/>
      </w:r>
      <w:r w:rsidRPr="002231AD">
        <w:rPr>
          <w:sz w:val="20"/>
        </w:rPr>
        <w:t>.</w:t>
      </w:r>
    </w:p>
    <w:p w:rsidR="00572744" w:rsidRPr="003E023F" w:rsidRDefault="00572744" w:rsidP="00572744">
      <w:pPr>
        <w:pStyle w:val="BodyTextIndent"/>
        <w:tabs>
          <w:tab w:val="left" w:pos="-1170"/>
        </w:tabs>
        <w:ind w:left="-1350" w:right="-990" w:firstLine="0"/>
        <w:rPr>
          <w:b w:val="0"/>
          <w:sz w:val="24"/>
          <w:szCs w:val="24"/>
        </w:rPr>
      </w:pPr>
      <w:r w:rsidRPr="003E023F">
        <w:rPr>
          <w:b w:val="0"/>
          <w:sz w:val="24"/>
          <w:szCs w:val="24"/>
        </w:rPr>
        <w:tab/>
      </w:r>
      <w:r w:rsidRPr="003E023F">
        <w:rPr>
          <w:b w:val="0"/>
          <w:sz w:val="24"/>
          <w:szCs w:val="24"/>
        </w:rPr>
        <w:tab/>
        <w:t>În foarte importantul document despre prozelitism la care ne-am referit deja, se subliniază faptul că:</w:t>
      </w:r>
      <w:r w:rsidRPr="003E023F">
        <w:rPr>
          <w:b w:val="0"/>
          <w:i/>
          <w:sz w:val="24"/>
          <w:szCs w:val="24"/>
        </w:rPr>
        <w:tab/>
        <w:t>„Responsabilitatea primară pentru misiune, acolo unde există o biserică locală, îi revine acelei biserici în contextul respectiv”</w:t>
      </w:r>
      <w:r w:rsidRPr="003E023F">
        <w:rPr>
          <w:rStyle w:val="FootnoteReference"/>
          <w:b w:val="0"/>
          <w:sz w:val="24"/>
          <w:szCs w:val="24"/>
        </w:rPr>
        <w:footnoteReference w:id="14"/>
      </w:r>
      <w:r w:rsidRPr="003E023F">
        <w:rPr>
          <w:b w:val="0"/>
          <w:sz w:val="24"/>
          <w:szCs w:val="24"/>
        </w:rPr>
        <w:t>. Aceasta nu înseamnă că se exclude colaborarea în misiune</w:t>
      </w:r>
      <w:r>
        <w:rPr>
          <w:rStyle w:val="FootnoteReference"/>
          <w:b w:val="0"/>
          <w:sz w:val="24"/>
          <w:szCs w:val="24"/>
        </w:rPr>
        <w:footnoteReference w:id="15"/>
      </w:r>
      <w:r w:rsidRPr="003E023F">
        <w:rPr>
          <w:b w:val="0"/>
          <w:sz w:val="24"/>
          <w:szCs w:val="24"/>
        </w:rPr>
        <w:t>, dimpotrivă</w:t>
      </w:r>
      <w:r>
        <w:rPr>
          <w:b w:val="0"/>
          <w:sz w:val="24"/>
          <w:szCs w:val="24"/>
        </w:rPr>
        <w:t>, e</w:t>
      </w:r>
      <w:r w:rsidRPr="003E023F">
        <w:rPr>
          <w:b w:val="0"/>
          <w:sz w:val="24"/>
          <w:szCs w:val="24"/>
        </w:rPr>
        <w:t>ste remarcabil că</w:t>
      </w:r>
      <w:r>
        <w:rPr>
          <w:b w:val="0"/>
          <w:sz w:val="24"/>
          <w:szCs w:val="24"/>
        </w:rPr>
        <w:t>,</w:t>
      </w:r>
      <w:r w:rsidRPr="003E023F">
        <w:rPr>
          <w:b w:val="0"/>
          <w:sz w:val="24"/>
          <w:szCs w:val="24"/>
        </w:rPr>
        <w:t xml:space="preserve"> în ultimele decenii</w:t>
      </w:r>
      <w:r>
        <w:rPr>
          <w:b w:val="0"/>
          <w:sz w:val="24"/>
          <w:szCs w:val="24"/>
        </w:rPr>
        <w:t>,</w:t>
      </w:r>
      <w:r w:rsidRPr="003E023F">
        <w:rPr>
          <w:b w:val="0"/>
          <w:sz w:val="24"/>
          <w:szCs w:val="24"/>
        </w:rPr>
        <w:t xml:space="preserve"> </w:t>
      </w:r>
      <w:r>
        <w:rPr>
          <w:b w:val="0"/>
          <w:sz w:val="24"/>
          <w:szCs w:val="24"/>
        </w:rPr>
        <w:t>B</w:t>
      </w:r>
      <w:r w:rsidRPr="003E023F">
        <w:rPr>
          <w:b w:val="0"/>
          <w:sz w:val="24"/>
          <w:szCs w:val="24"/>
        </w:rPr>
        <w:t>isericile au redobândit perspectiva biblică şi percep misiunea ca fiind</w:t>
      </w:r>
      <w:r>
        <w:rPr>
          <w:b w:val="0"/>
          <w:sz w:val="24"/>
          <w:szCs w:val="24"/>
        </w:rPr>
        <w:t>,</w:t>
      </w:r>
      <w:r w:rsidRPr="003E023F">
        <w:rPr>
          <w:b w:val="0"/>
          <w:sz w:val="24"/>
          <w:szCs w:val="24"/>
        </w:rPr>
        <w:t xml:space="preserve"> mai degrabă</w:t>
      </w:r>
      <w:r>
        <w:rPr>
          <w:b w:val="0"/>
          <w:sz w:val="24"/>
          <w:szCs w:val="24"/>
        </w:rPr>
        <w:t>,</w:t>
      </w:r>
      <w:r w:rsidRPr="003E023F">
        <w:rPr>
          <w:b w:val="0"/>
          <w:sz w:val="24"/>
          <w:szCs w:val="24"/>
        </w:rPr>
        <w:t xml:space="preserve"> a lui Dumnezeu, decât a </w:t>
      </w:r>
      <w:r>
        <w:rPr>
          <w:b w:val="0"/>
          <w:sz w:val="24"/>
          <w:szCs w:val="24"/>
        </w:rPr>
        <w:t>lor în mod autonom</w:t>
      </w:r>
      <w:r w:rsidRPr="003E023F">
        <w:rPr>
          <w:b w:val="0"/>
          <w:sz w:val="24"/>
          <w:szCs w:val="24"/>
        </w:rPr>
        <w:t xml:space="preserve">. Trecerea de la o perspectivă </w:t>
      </w:r>
      <w:r w:rsidRPr="00FA71A0">
        <w:rPr>
          <w:b w:val="0"/>
          <w:i/>
          <w:sz w:val="24"/>
          <w:szCs w:val="24"/>
        </w:rPr>
        <w:t>eclesiocentrică</w:t>
      </w:r>
      <w:r w:rsidRPr="003E023F">
        <w:rPr>
          <w:b w:val="0"/>
          <w:sz w:val="24"/>
          <w:szCs w:val="24"/>
        </w:rPr>
        <w:t xml:space="preserve"> la una </w:t>
      </w:r>
      <w:r w:rsidRPr="00FA71A0">
        <w:rPr>
          <w:b w:val="0"/>
          <w:i/>
          <w:sz w:val="24"/>
          <w:szCs w:val="24"/>
        </w:rPr>
        <w:t>teocentrică</w:t>
      </w:r>
      <w:r w:rsidRPr="003E023F">
        <w:rPr>
          <w:b w:val="0"/>
          <w:sz w:val="24"/>
          <w:szCs w:val="24"/>
        </w:rPr>
        <w:t xml:space="preserve"> asupra originii şi profilului misiunii nu s-a realizat fără un mare efort teologic şi misiologic</w:t>
      </w:r>
      <w:r w:rsidRPr="003E023F">
        <w:rPr>
          <w:rStyle w:val="FootnoteReference"/>
          <w:b w:val="0"/>
          <w:sz w:val="24"/>
          <w:szCs w:val="24"/>
        </w:rPr>
        <w:footnoteReference w:id="16"/>
      </w:r>
      <w:r w:rsidRPr="003E023F">
        <w:rPr>
          <w:b w:val="0"/>
          <w:sz w:val="24"/>
          <w:szCs w:val="24"/>
        </w:rPr>
        <w:t>. David Bosch observa că „în ultima jumătate de secol, s-a petrecut o subtilă dar decisivă trecere înspre înţelegerea misiunii ca misiune a lui Dumnezeu. În secolele precedente, misiunea a fost înţeleasă într-o varietate de feluri. Câteodată a fost interpretată predominant în sens soteriologic, ca salvare a oamenilor de la osânda veşnică,  sau a fost percepută în termeni culturali, ca o introducere a oamenilor din Est sau Sud în binecuvântarea şi privilegiile creştinătăţii apusene. Apoi, a fost adesea înţeleasă în categorii eclesiale, ca expansiune a Bisericii (sau a unei anumite denominaţiuni). Câteodată a fost definită soteriologic - istoric, ca procesul prin care lumea, în mod evolutiv sau prin intermediul unui cataclism, va fi transformată în Împărăţia lui Dumnezeu”</w:t>
      </w:r>
      <w:r w:rsidRPr="003E023F">
        <w:rPr>
          <w:rStyle w:val="FootnoteReference"/>
          <w:b w:val="0"/>
          <w:sz w:val="24"/>
          <w:szCs w:val="24"/>
        </w:rPr>
        <w:footnoteReference w:id="17"/>
      </w:r>
      <w:r w:rsidRPr="003E023F">
        <w:rPr>
          <w:b w:val="0"/>
          <w:sz w:val="24"/>
          <w:szCs w:val="24"/>
        </w:rPr>
        <w:t xml:space="preserve">.  </w:t>
      </w:r>
    </w:p>
    <w:p w:rsidR="00572744" w:rsidRPr="003E023F" w:rsidRDefault="00572744" w:rsidP="00572744">
      <w:pPr>
        <w:tabs>
          <w:tab w:val="left" w:pos="-1170"/>
        </w:tabs>
        <w:ind w:left="-1350" w:right="-990" w:firstLine="720"/>
        <w:jc w:val="both"/>
        <w:rPr>
          <w:szCs w:val="24"/>
        </w:rPr>
      </w:pPr>
      <w:r w:rsidRPr="003E023F">
        <w:rPr>
          <w:szCs w:val="24"/>
        </w:rPr>
        <w:lastRenderedPageBreak/>
        <w:t xml:space="preserve">Abordând problema originii şi conţinutului conceptului de </w:t>
      </w:r>
      <w:r w:rsidRPr="003E023F">
        <w:rPr>
          <w:i/>
          <w:szCs w:val="24"/>
        </w:rPr>
        <w:t>missio Dei</w:t>
      </w:r>
      <w:r w:rsidRPr="003E023F">
        <w:rPr>
          <w:szCs w:val="24"/>
        </w:rPr>
        <w:t>,</w:t>
      </w:r>
      <w:r w:rsidRPr="003E023F">
        <w:rPr>
          <w:i/>
          <w:szCs w:val="24"/>
        </w:rPr>
        <w:t xml:space="preserve"> </w:t>
      </w:r>
      <w:r w:rsidRPr="003E023F">
        <w:rPr>
          <w:szCs w:val="24"/>
        </w:rPr>
        <w:t>profesorul Tormod Engelsviken de la Facultatea de Teologie din Oslo, un bun teoretician al misiunii, dar şi un mare practician, scria că acest concept are o lungă istorie care merge până la Fericitul Augustin, şi este strâns legat de doctrina despre Sfânta Treime</w:t>
      </w:r>
      <w:r w:rsidRPr="003E023F">
        <w:rPr>
          <w:rStyle w:val="FootnoteReference"/>
          <w:szCs w:val="24"/>
        </w:rPr>
        <w:footnoteReference w:id="18"/>
      </w:r>
      <w:r w:rsidRPr="003E023F">
        <w:rPr>
          <w:szCs w:val="24"/>
        </w:rPr>
        <w:t xml:space="preserve">. Perspectiva teocentrică nu a fost nouă în secolul al XX-lea. Se poate găsi şi în învăţătura despre misiune a lui Martin Luther. Pentru el, „misiunea este întotdeauna în mod predominant lucrarea lui Dumnezeu cel Unul în Treime – </w:t>
      </w:r>
      <w:r w:rsidRPr="003E023F">
        <w:rPr>
          <w:i/>
          <w:szCs w:val="24"/>
        </w:rPr>
        <w:t xml:space="preserve">missio Dei Triunius– </w:t>
      </w:r>
      <w:r w:rsidRPr="003E023F">
        <w:rPr>
          <w:szCs w:val="24"/>
        </w:rPr>
        <w:t>iar scopul şi rezultatul său este venirea Împărăţiei lui Dumnezeu. Pentru Luther, Biserica şi fiecare creştin sunt instrumente ale misiunii, prin urmare el nu vede în Biserică punctul de pornire sau scopul final, cum s-a  intenţionat prin misiologia secolului al XIX-lea”</w:t>
      </w:r>
      <w:r w:rsidRPr="003E023F">
        <w:rPr>
          <w:rStyle w:val="FootnoteReference"/>
          <w:szCs w:val="24"/>
        </w:rPr>
        <w:footnoteReference w:id="19"/>
      </w:r>
      <w:r w:rsidRPr="003E023F">
        <w:rPr>
          <w:szCs w:val="24"/>
        </w:rPr>
        <w:t xml:space="preserve">. </w:t>
      </w:r>
    </w:p>
    <w:p w:rsidR="00572744" w:rsidRPr="003E023F" w:rsidRDefault="00572744" w:rsidP="00572744">
      <w:pPr>
        <w:tabs>
          <w:tab w:val="left" w:pos="-1170"/>
        </w:tabs>
        <w:ind w:left="-1350" w:right="-990" w:firstLine="720"/>
        <w:jc w:val="both"/>
        <w:rPr>
          <w:szCs w:val="24"/>
        </w:rPr>
      </w:pPr>
      <w:r w:rsidRPr="003E023F">
        <w:rPr>
          <w:szCs w:val="24"/>
        </w:rPr>
        <w:t xml:space="preserve">Principalul motiv pentru care este binecunoscută conferinţa de misiune de la Willingen (1952) este chiar introducerea conceptului </w:t>
      </w:r>
      <w:r w:rsidRPr="003E023F">
        <w:rPr>
          <w:i/>
          <w:szCs w:val="24"/>
        </w:rPr>
        <w:t>missio Dei</w:t>
      </w:r>
      <w:r w:rsidRPr="003E023F">
        <w:rPr>
          <w:szCs w:val="24"/>
        </w:rPr>
        <w:t>. Cu toate acestea, expresia nu se găseşte în documentele conferinţei, după cum observa profesorul Tormod Engelsviken</w:t>
      </w:r>
      <w:r w:rsidRPr="003E023F">
        <w:rPr>
          <w:rStyle w:val="FootnoteReference"/>
          <w:szCs w:val="24"/>
        </w:rPr>
        <w:footnoteReference w:id="20"/>
      </w:r>
      <w:r w:rsidRPr="003E023F">
        <w:rPr>
          <w:szCs w:val="24"/>
        </w:rPr>
        <w:t>. Karl Hartenstein, în raportul conferinţei, a folosit expresia</w:t>
      </w:r>
      <w:r w:rsidRPr="003E023F">
        <w:rPr>
          <w:i/>
          <w:szCs w:val="24"/>
        </w:rPr>
        <w:t xml:space="preserve"> missio Dei</w:t>
      </w:r>
      <w:r w:rsidRPr="003E023F">
        <w:rPr>
          <w:szCs w:val="24"/>
        </w:rPr>
        <w:t>, atunci când a vorbit despre misiune ca participare la trimiterea Fiului, la</w:t>
      </w:r>
      <w:r w:rsidRPr="003E023F">
        <w:rPr>
          <w:i/>
          <w:szCs w:val="24"/>
        </w:rPr>
        <w:t xml:space="preserve"> missio Dei</w:t>
      </w:r>
      <w:r w:rsidRPr="003E023F">
        <w:rPr>
          <w:szCs w:val="24"/>
        </w:rPr>
        <w:t>, cu  scopul de a se instaura stăpânirea lui Hristos asupra întregii creaţii răscumpărate</w:t>
      </w:r>
      <w:r w:rsidRPr="003E023F">
        <w:rPr>
          <w:rStyle w:val="FootnoteReference"/>
          <w:szCs w:val="24"/>
        </w:rPr>
        <w:footnoteReference w:id="21"/>
      </w:r>
      <w:r w:rsidRPr="003E023F">
        <w:rPr>
          <w:szCs w:val="24"/>
        </w:rPr>
        <w:t xml:space="preserve">. Accentul pus la Willingen pe baza trinitară a misiunii este chiar mai important decât expresia </w:t>
      </w:r>
      <w:r w:rsidRPr="003E023F">
        <w:rPr>
          <w:i/>
          <w:szCs w:val="24"/>
        </w:rPr>
        <w:t>missio Dei</w:t>
      </w:r>
      <w:r w:rsidRPr="003E023F">
        <w:rPr>
          <w:szCs w:val="24"/>
        </w:rPr>
        <w:t xml:space="preserve">. De fapt perceperea trinitară a misiunii constituie fundamentul oricărei înţelegeri a </w:t>
      </w:r>
      <w:r w:rsidRPr="003E023F">
        <w:rPr>
          <w:i/>
          <w:szCs w:val="24"/>
        </w:rPr>
        <w:t>missio Dei</w:t>
      </w:r>
      <w:r w:rsidRPr="003E023F">
        <w:rPr>
          <w:rStyle w:val="FootnoteReference"/>
          <w:szCs w:val="24"/>
        </w:rPr>
        <w:footnoteReference w:id="22"/>
      </w:r>
      <w:r w:rsidRPr="003E023F">
        <w:rPr>
          <w:i/>
          <w:szCs w:val="24"/>
        </w:rPr>
        <w:t>.</w:t>
      </w:r>
      <w:r w:rsidRPr="003E023F">
        <w:rPr>
          <w:szCs w:val="24"/>
        </w:rPr>
        <w:t xml:space="preserve"> Această idee este împărtăşită şi de un teolog indian: „Misiunea creştină trebuie înţeleasă ca participarea creştină la misiunea lui Dumnezeu. </w:t>
      </w:r>
      <w:r w:rsidRPr="003E023F">
        <w:rPr>
          <w:i/>
          <w:szCs w:val="24"/>
        </w:rPr>
        <w:t>Missio Dei</w:t>
      </w:r>
      <w:r w:rsidRPr="003E023F">
        <w:rPr>
          <w:szCs w:val="24"/>
        </w:rPr>
        <w:t xml:space="preserve"> Îl aşează pe Dumnezeu în centru, deoarece este sursa şi Autorul misiunii.Totodată, acest concept sugerează că misiunea trebuie percepută ca derivând din chiar natura lui Dumnezeu Cel Unul în Treime, anume că Dumnezeu Tatăl Îl trimite pe Fiul, Dumnezeu Tatăl şi Fiul Îl trimit pe Duhul Sfânt, iar Dumnezeu Unul în Treime trimite Biserica în lume”</w:t>
      </w:r>
      <w:r w:rsidRPr="003E023F">
        <w:rPr>
          <w:rStyle w:val="FootnoteReference"/>
          <w:szCs w:val="24"/>
        </w:rPr>
        <w:footnoteReference w:id="23"/>
      </w:r>
      <w:r w:rsidRPr="003E023F">
        <w:rPr>
          <w:szCs w:val="24"/>
        </w:rPr>
        <w:t xml:space="preserve">. Wilhelm Richebacher precizează, de asemenea, că expresia </w:t>
      </w:r>
      <w:r w:rsidRPr="003E023F">
        <w:rPr>
          <w:i/>
          <w:szCs w:val="24"/>
        </w:rPr>
        <w:t>missio Dei</w:t>
      </w:r>
      <w:r w:rsidRPr="003E023F">
        <w:rPr>
          <w:szCs w:val="24"/>
        </w:rPr>
        <w:t xml:space="preserve"> nu a fost  folosită în timpul Conferinţei de la Willinger, dar în raport se poate citi: “Trimiterea Fiului pentru a reconcilia Universul prin puterea Duhului Sfânt, este fundamentul şi scopul misiunii. </w:t>
      </w:r>
      <w:r w:rsidRPr="003E023F">
        <w:rPr>
          <w:i/>
          <w:szCs w:val="24"/>
        </w:rPr>
        <w:t>Missio ecclesiae</w:t>
      </w:r>
      <w:r w:rsidRPr="003E023F">
        <w:rPr>
          <w:szCs w:val="24"/>
        </w:rPr>
        <w:t xml:space="preserve"> provine exclusiv din </w:t>
      </w:r>
      <w:r w:rsidRPr="003E023F">
        <w:rPr>
          <w:i/>
          <w:szCs w:val="24"/>
        </w:rPr>
        <w:t>missio Dei</w:t>
      </w:r>
      <w:r w:rsidRPr="003E023F">
        <w:rPr>
          <w:szCs w:val="24"/>
        </w:rPr>
        <w:t>. Astfel, misiunea este plasată în cadrul cel mai larg imaginabil al istoriei mântuirii şi al planului de mântuire a lui Dumnezeu”</w:t>
      </w:r>
      <w:r w:rsidRPr="003E023F">
        <w:rPr>
          <w:rStyle w:val="FootnoteReference"/>
          <w:szCs w:val="24"/>
        </w:rPr>
        <w:footnoteReference w:id="24"/>
      </w:r>
      <w:r w:rsidRPr="003E023F">
        <w:rPr>
          <w:szCs w:val="24"/>
        </w:rPr>
        <w:t xml:space="preserve">. Continuă prin a afirma că trebuie să vorbim despre </w:t>
      </w:r>
      <w:r w:rsidRPr="003E023F">
        <w:rPr>
          <w:i/>
          <w:szCs w:val="24"/>
        </w:rPr>
        <w:t>missio Dei Triunius</w:t>
      </w:r>
      <w:r w:rsidRPr="003E023F">
        <w:rPr>
          <w:szCs w:val="24"/>
        </w:rPr>
        <w:t>, deoarece “misiunea lui Dumnezeu cel Unul în Treime este o invitaţie la viaţă în deplinătatea sa, în prezenţa mântuitoare a Celui înviat”</w:t>
      </w:r>
      <w:r w:rsidRPr="003E023F">
        <w:rPr>
          <w:rStyle w:val="FootnoteReference"/>
          <w:szCs w:val="24"/>
        </w:rPr>
        <w:footnoteReference w:id="25"/>
      </w:r>
      <w:r w:rsidRPr="003E023F">
        <w:rPr>
          <w:szCs w:val="24"/>
        </w:rPr>
        <w:t>.</w:t>
      </w:r>
    </w:p>
    <w:p w:rsidR="00572744" w:rsidRPr="003E023F" w:rsidRDefault="00572744" w:rsidP="00572744">
      <w:pPr>
        <w:tabs>
          <w:tab w:val="left" w:pos="-1170"/>
        </w:tabs>
        <w:ind w:left="-1350" w:right="-990"/>
        <w:jc w:val="both"/>
        <w:rPr>
          <w:szCs w:val="24"/>
        </w:rPr>
      </w:pPr>
      <w:r w:rsidRPr="003E023F">
        <w:rPr>
          <w:szCs w:val="24"/>
        </w:rPr>
        <w:t xml:space="preserve"> </w:t>
      </w:r>
      <w:r w:rsidRPr="003E023F">
        <w:rPr>
          <w:szCs w:val="24"/>
        </w:rPr>
        <w:tab/>
      </w:r>
      <w:r w:rsidRPr="003E023F">
        <w:rPr>
          <w:szCs w:val="24"/>
        </w:rPr>
        <w:tab/>
        <w:t xml:space="preserve">Într-un text relativ recent despre misiune, adoptat ca document de studiu de Comisia pentru misiune mondială şi evanghelizare, aparţinând Consiliului Ecumenic al Bisericilor, se afirmă: </w:t>
      </w:r>
    </w:p>
    <w:p w:rsidR="00572744" w:rsidRPr="00346F46" w:rsidRDefault="00572744" w:rsidP="00572744">
      <w:pPr>
        <w:tabs>
          <w:tab w:val="left" w:pos="-1170"/>
        </w:tabs>
        <w:ind w:left="-1350" w:right="-990"/>
        <w:jc w:val="both"/>
        <w:rPr>
          <w:snapToGrid w:val="0"/>
          <w:sz w:val="20"/>
        </w:rPr>
      </w:pPr>
      <w:r w:rsidRPr="003E023F">
        <w:rPr>
          <w:szCs w:val="24"/>
        </w:rPr>
        <w:tab/>
        <w:t xml:space="preserve">   </w:t>
      </w:r>
      <w:r w:rsidRPr="00346F46">
        <w:rPr>
          <w:sz w:val="20"/>
        </w:rPr>
        <w:t xml:space="preserve">    „</w:t>
      </w:r>
      <w:r w:rsidRPr="00346F46">
        <w:rPr>
          <w:snapToGrid w:val="0"/>
          <w:sz w:val="20"/>
        </w:rPr>
        <w:t>Misiunea lui Dumnezeu (</w:t>
      </w:r>
      <w:r w:rsidRPr="00346F46">
        <w:rPr>
          <w:i/>
          <w:snapToGrid w:val="0"/>
          <w:sz w:val="20"/>
        </w:rPr>
        <w:t>missio Dei)</w:t>
      </w:r>
      <w:r w:rsidRPr="00346F46">
        <w:rPr>
          <w:snapToGrid w:val="0"/>
          <w:sz w:val="20"/>
        </w:rPr>
        <w:t xml:space="preserve"> nu are nici limite, nici graniţe; ea s-a adresat şi a fost pusă în lucrare pentru întrega umanitate şi pentru întrega creaţie, de-a lungul istoriei.</w:t>
      </w:r>
      <w:r>
        <w:rPr>
          <w:snapToGrid w:val="0"/>
          <w:sz w:val="20"/>
        </w:rPr>
        <w:t xml:space="preserve"> (...)</w:t>
      </w:r>
      <w:r w:rsidRPr="00346F46">
        <w:rPr>
          <w:snapToGrid w:val="0"/>
          <w:sz w:val="20"/>
        </w:rPr>
        <w:t xml:space="preserve"> De aceea este importantă o abordare trinitară a </w:t>
      </w:r>
      <w:r w:rsidRPr="00346F46">
        <w:rPr>
          <w:i/>
          <w:snapToGrid w:val="0"/>
          <w:sz w:val="20"/>
        </w:rPr>
        <w:t>missio</w:t>
      </w:r>
      <w:r w:rsidRPr="00346F46">
        <w:rPr>
          <w:snapToGrid w:val="0"/>
          <w:sz w:val="20"/>
        </w:rPr>
        <w:t xml:space="preserve"> </w:t>
      </w:r>
      <w:r w:rsidRPr="00346F46">
        <w:rPr>
          <w:i/>
          <w:snapToGrid w:val="0"/>
          <w:sz w:val="20"/>
        </w:rPr>
        <w:t>Dei</w:t>
      </w:r>
      <w:r w:rsidRPr="00346F46">
        <w:rPr>
          <w:snapToGrid w:val="0"/>
          <w:sz w:val="20"/>
        </w:rPr>
        <w:t>. Pe de o parte, aceasta promovează o înţelegere mai inclusivă a prezenţei şi a lucrării lui Dumnezeu în întreaga lume şi printre toţi oamenii, implicând faptul că semnele prezenţei lui Dumnezeu pot şi trebuie să fie identificate, afirmate şi înfăptuite chiar şi în cele mai neaşteptate locuri. Pe de altă parte, afirmând clar că Tatăl şi Duhul Sfânt sunt în toate situaţiile prezenţi şi lucrează împreună cu Cuvântul, tentaţia de a separa prezenţa lui Dumnezeu-Tatăl sau a Duhului Sfânt de Fiul lui Dumnezeu întrupat, Domnul nostru Iisus Hristos, va fi evitată.</w:t>
      </w:r>
    </w:p>
    <w:p w:rsidR="00572744" w:rsidRPr="003E023F" w:rsidRDefault="00572744" w:rsidP="00572744">
      <w:pPr>
        <w:tabs>
          <w:tab w:val="left" w:pos="-1170"/>
        </w:tabs>
        <w:ind w:left="-1350" w:right="-990"/>
        <w:jc w:val="both"/>
        <w:rPr>
          <w:snapToGrid w:val="0"/>
          <w:szCs w:val="24"/>
        </w:rPr>
      </w:pPr>
      <w:r w:rsidRPr="00346F46">
        <w:rPr>
          <w:snapToGrid w:val="0"/>
          <w:sz w:val="20"/>
        </w:rPr>
        <w:tab/>
        <w:t xml:space="preserve"> </w:t>
      </w:r>
      <w:r>
        <w:rPr>
          <w:snapToGrid w:val="0"/>
          <w:sz w:val="20"/>
        </w:rPr>
        <w:t xml:space="preserve">     </w:t>
      </w:r>
      <w:r w:rsidRPr="00346F46">
        <w:rPr>
          <w:snapToGrid w:val="0"/>
          <w:sz w:val="20"/>
        </w:rPr>
        <w:t>Misiunea lui Dumnezeu (</w:t>
      </w:r>
      <w:r w:rsidRPr="00346F46">
        <w:rPr>
          <w:i/>
          <w:snapToGrid w:val="0"/>
          <w:sz w:val="20"/>
        </w:rPr>
        <w:t>missio</w:t>
      </w:r>
      <w:r w:rsidRPr="00346F46">
        <w:rPr>
          <w:snapToGrid w:val="0"/>
          <w:sz w:val="20"/>
        </w:rPr>
        <w:t xml:space="preserve"> </w:t>
      </w:r>
      <w:r w:rsidRPr="00346F46">
        <w:rPr>
          <w:i/>
          <w:snapToGrid w:val="0"/>
          <w:sz w:val="20"/>
        </w:rPr>
        <w:t>Dei</w:t>
      </w:r>
      <w:r w:rsidRPr="00346F46">
        <w:rPr>
          <w:snapToGrid w:val="0"/>
          <w:sz w:val="20"/>
        </w:rPr>
        <w:t xml:space="preserve">) este sursa şi baza pentru misiunea Bisericii, trupul lui Hristos. Prin Hristos în Duhul Sfânt, Dumnezeu Se sălăşluieşte în Biserică, întărindu-i şi încurajându-i pe membrii ei. Misiunea devine pentru creştini o obligaţie urgentă de ordin interior, chiar un test relevant şi un criteriu pentru viaţa autentică în Hristos, avându-şi rădăcinile în exigenţele profunde ale iubirii lui Hristos, de a-i invita şi pe alţii să se împărtăşească de plenitudinea vieţii pe care Iisus a venit să o aducă (In. 10,10). Prin urmare, participarea la misiunea lui Dumnezeu ar trebui să fie un lucru firesc pentru toţi creştinii şi pentru toate </w:t>
      </w:r>
      <w:r>
        <w:rPr>
          <w:snapToGrid w:val="0"/>
          <w:sz w:val="20"/>
        </w:rPr>
        <w:t>B</w:t>
      </w:r>
      <w:r w:rsidRPr="00346F46">
        <w:rPr>
          <w:snapToGrid w:val="0"/>
          <w:sz w:val="20"/>
        </w:rPr>
        <w:t xml:space="preserve">isericile, nu numai pentru </w:t>
      </w:r>
      <w:r w:rsidRPr="00346F46">
        <w:rPr>
          <w:snapToGrid w:val="0"/>
          <w:sz w:val="20"/>
        </w:rPr>
        <w:lastRenderedPageBreak/>
        <w:t>anumite persoane sau grupuri specializate. Sfântul Duh îi transformă pe creştini în mărturisitori vii şi îndrăzneţi (cf.F.Ap.1,8). «Nu putem să nu vorbim despre cele ce am văzut şi am auzit» (F.Ap.4,20) a fost răspunsul dat de Sfinţii Apostoli Petru şi Ioan, atunci când li s-a interzis să mai vorbească despre Iisus; sau, potrivit cuvintelor Sfântului Apostol Pavel: «Dacă eu binevestesc Evanghelia, nu am de ce să mă laud; fiindcă asupra mea stă trebuinţa. Că vai mie dacă nu voi binevesti!» (I Cor. 9,16)</w:t>
      </w:r>
      <w:r w:rsidRPr="003E023F">
        <w:rPr>
          <w:snapToGrid w:val="0"/>
          <w:szCs w:val="24"/>
        </w:rPr>
        <w:t>”</w:t>
      </w:r>
      <w:r w:rsidRPr="003E023F">
        <w:rPr>
          <w:rStyle w:val="FootnoteReference"/>
          <w:szCs w:val="24"/>
        </w:rPr>
        <w:footnoteReference w:id="26"/>
      </w:r>
      <w:r w:rsidRPr="003E023F">
        <w:rPr>
          <w:snapToGrid w:val="0"/>
          <w:szCs w:val="24"/>
        </w:rPr>
        <w:t>.</w:t>
      </w:r>
      <w:r w:rsidRPr="003E023F">
        <w:rPr>
          <w:szCs w:val="24"/>
        </w:rPr>
        <w:t xml:space="preserve"> </w:t>
      </w:r>
    </w:p>
    <w:p w:rsidR="00572744" w:rsidRPr="003E023F" w:rsidRDefault="00572744" w:rsidP="00572744">
      <w:pPr>
        <w:tabs>
          <w:tab w:val="left" w:pos="-1170"/>
        </w:tabs>
        <w:ind w:left="-1350" w:right="-990" w:firstLine="720"/>
        <w:jc w:val="both"/>
        <w:rPr>
          <w:szCs w:val="24"/>
        </w:rPr>
      </w:pPr>
      <w:r w:rsidRPr="003E023F">
        <w:rPr>
          <w:szCs w:val="24"/>
        </w:rPr>
        <w:t xml:space="preserve">Totuşi, conceptul </w:t>
      </w:r>
      <w:r w:rsidRPr="003E023F">
        <w:rPr>
          <w:i/>
          <w:szCs w:val="24"/>
        </w:rPr>
        <w:t>missio Dei</w:t>
      </w:r>
      <w:r w:rsidRPr="003E023F">
        <w:rPr>
          <w:szCs w:val="24"/>
        </w:rPr>
        <w:t xml:space="preserve"> nu este lipsit de dificultăţi. La Willingen şi în perioada următoare au apărut două abordări majore, oarecum antagonice, ale conceptului </w:t>
      </w:r>
      <w:r w:rsidRPr="003E023F">
        <w:rPr>
          <w:i/>
          <w:szCs w:val="24"/>
        </w:rPr>
        <w:t>missio Dei</w:t>
      </w:r>
      <w:r w:rsidRPr="003E023F">
        <w:rPr>
          <w:szCs w:val="24"/>
        </w:rPr>
        <w:t xml:space="preserve">. Prin prima, dominantă la Willingen, se înţelege misiunea ca lucrarea evanghelizatoare a lui Dumnezeu, desfăşurată prin Biserică. A doua, aflată în opoziţei cu viziunea dominantă la Willingen, concepe </w:t>
      </w:r>
      <w:r w:rsidRPr="003E023F">
        <w:rPr>
          <w:i/>
          <w:szCs w:val="24"/>
        </w:rPr>
        <w:t>missio Dei</w:t>
      </w:r>
      <w:r w:rsidRPr="003E023F">
        <w:rPr>
          <w:szCs w:val="24"/>
        </w:rPr>
        <w:t xml:space="preserve"> ca pe lucrarea lui Dumnezeu în lumea secularizată, mai presus de Biserică, întrucât „lumea stabileşte agenda”</w:t>
      </w:r>
      <w:r w:rsidRPr="003E023F">
        <w:rPr>
          <w:rStyle w:val="FootnoteReference"/>
          <w:szCs w:val="24"/>
        </w:rPr>
        <w:footnoteReference w:id="27"/>
      </w:r>
      <w:r w:rsidRPr="003E023F">
        <w:rPr>
          <w:szCs w:val="24"/>
        </w:rPr>
        <w:t xml:space="preserve">. Conceptul </w:t>
      </w:r>
      <w:r w:rsidRPr="003E023F">
        <w:rPr>
          <w:i/>
          <w:szCs w:val="24"/>
        </w:rPr>
        <w:t>missio Dei</w:t>
      </w:r>
      <w:r w:rsidRPr="003E023F">
        <w:rPr>
          <w:szCs w:val="24"/>
        </w:rPr>
        <w:t>, care adesea se presupune a fi în mod exclusiv o misiologie „de sus în jos”, este şi o misiologie „de jos în sus”, deoarece lucrarea lui Dumnezeu se poate discerne în istoria seculară</w:t>
      </w:r>
      <w:r w:rsidRPr="003E023F">
        <w:rPr>
          <w:rStyle w:val="FootnoteReference"/>
          <w:szCs w:val="24"/>
        </w:rPr>
        <w:footnoteReference w:id="28"/>
      </w:r>
      <w:r w:rsidRPr="003E023F">
        <w:rPr>
          <w:szCs w:val="24"/>
        </w:rPr>
        <w:t>.</w:t>
      </w:r>
    </w:p>
    <w:p w:rsidR="00572744" w:rsidRPr="003E023F" w:rsidRDefault="00572744" w:rsidP="00572744">
      <w:pPr>
        <w:tabs>
          <w:tab w:val="left" w:pos="-1170"/>
        </w:tabs>
        <w:ind w:left="-1350" w:right="-990" w:firstLine="720"/>
        <w:jc w:val="both"/>
        <w:rPr>
          <w:szCs w:val="24"/>
        </w:rPr>
      </w:pPr>
      <w:r w:rsidRPr="00346F46">
        <w:rPr>
          <w:szCs w:val="24"/>
        </w:rPr>
        <w:t>Prin urmare</w:t>
      </w:r>
      <w:r>
        <w:rPr>
          <w:szCs w:val="24"/>
        </w:rPr>
        <w:t xml:space="preserve"> </w:t>
      </w:r>
      <w:r w:rsidRPr="003B4422">
        <w:rPr>
          <w:i/>
          <w:szCs w:val="24"/>
        </w:rPr>
        <w:t>misiunea</w:t>
      </w:r>
      <w:r>
        <w:rPr>
          <w:szCs w:val="24"/>
        </w:rPr>
        <w:t xml:space="preserve"> aparţine Sfintei Treimi, iar creştinii ar trebui să participe întotdeauna după modelul lui Hristos (</w:t>
      </w:r>
      <w:r>
        <w:rPr>
          <w:i/>
          <w:szCs w:val="24"/>
        </w:rPr>
        <w:t>in Christ’s way</w:t>
      </w:r>
      <w:r>
        <w:rPr>
          <w:szCs w:val="24"/>
        </w:rPr>
        <w:t xml:space="preserve">) adică blânzi, smeriţi şi cu dragoste jertfelnică. </w:t>
      </w:r>
    </w:p>
    <w:p w:rsidR="00572744" w:rsidRPr="003E023F" w:rsidRDefault="00572744" w:rsidP="00572744">
      <w:pPr>
        <w:ind w:left="-1350" w:right="-990"/>
        <w:jc w:val="both"/>
        <w:rPr>
          <w:szCs w:val="24"/>
        </w:rPr>
      </w:pPr>
    </w:p>
    <w:p w:rsidR="00572744" w:rsidRPr="003E023F" w:rsidRDefault="00572744" w:rsidP="00572744">
      <w:pPr>
        <w:ind w:left="-1350" w:right="-990"/>
        <w:jc w:val="both"/>
        <w:rPr>
          <w:i/>
          <w:szCs w:val="24"/>
        </w:rPr>
      </w:pPr>
      <w:r>
        <w:rPr>
          <w:i/>
          <w:szCs w:val="24"/>
        </w:rPr>
        <w:t>3.</w:t>
      </w:r>
      <w:r w:rsidRPr="003E023F">
        <w:rPr>
          <w:i/>
          <w:szCs w:val="24"/>
        </w:rPr>
        <w:t>Ortodoxia în mişcarea ecumenică</w:t>
      </w:r>
      <w:r>
        <w:rPr>
          <w:i/>
          <w:szCs w:val="24"/>
        </w:rPr>
        <w:t xml:space="preserve"> </w:t>
      </w:r>
      <w:r w:rsidRPr="003E023F">
        <w:rPr>
          <w:i/>
          <w:szCs w:val="24"/>
        </w:rPr>
        <w:t>- consideraţii preliminare</w:t>
      </w:r>
    </w:p>
    <w:p w:rsidR="00572744" w:rsidRPr="003E023F" w:rsidRDefault="00572744" w:rsidP="00572744">
      <w:pPr>
        <w:ind w:left="-1350" w:right="-990"/>
        <w:jc w:val="both"/>
        <w:rPr>
          <w:szCs w:val="24"/>
        </w:rPr>
      </w:pPr>
    </w:p>
    <w:p w:rsidR="00572744" w:rsidRPr="003E023F" w:rsidRDefault="00572744" w:rsidP="00572744">
      <w:pPr>
        <w:tabs>
          <w:tab w:val="left" w:pos="851"/>
        </w:tabs>
        <w:ind w:left="-1350" w:right="-990" w:firstLine="851"/>
        <w:jc w:val="both"/>
        <w:rPr>
          <w:szCs w:val="24"/>
        </w:rPr>
      </w:pPr>
      <w:r w:rsidRPr="003E023F">
        <w:rPr>
          <w:szCs w:val="24"/>
        </w:rPr>
        <w:t>În multe cercuri bisericeşti, ortodoxe cât şi ne-ortodoxe, este răspândită ideea că mişcarea ecumenică s-ar fi născut din interiorul lumii protestante, ca un rezultat al situaţiei sale interne şi în urma unui efort de a găsi soluţii la problemele existenţiale la care trebuia să facă faţă, cu privire la viaţa cotidiană şi la mărturie</w:t>
      </w:r>
      <w:r w:rsidRPr="003E023F">
        <w:rPr>
          <w:rStyle w:val="FootnoteReference"/>
          <w:szCs w:val="24"/>
        </w:rPr>
        <w:footnoteReference w:id="29"/>
      </w:r>
      <w:r w:rsidRPr="003E023F">
        <w:rPr>
          <w:szCs w:val="24"/>
        </w:rPr>
        <w:t xml:space="preserve">. Din această cauză mulţi ortodocşi sunt surprinşi de prezenţa ortodoxă în mişcarea ecumenică, şi de participarea activă a Bisericii Ortodoxe la Consiliul Ecumenic al Bisericilor. În acelaşi timp nu puţini protestanţi, nefamiliarizaţi cu </w:t>
      </w:r>
      <w:r w:rsidRPr="003E023F">
        <w:rPr>
          <w:szCs w:val="24"/>
        </w:rPr>
        <w:lastRenderedPageBreak/>
        <w:t>creştinătatea răsăriteană, sunt tentaţi să-i considere pe ortodocşi ca aparţinând unei “lumi” şi culturi diferite, străine preocupărilor mişcării ecumenice, şi care constituie, adesea, un obstacol în calea unităţii creştine</w:t>
      </w:r>
      <w:r w:rsidRPr="003E023F">
        <w:rPr>
          <w:rStyle w:val="FootnoteReference"/>
          <w:szCs w:val="24"/>
        </w:rPr>
        <w:footnoteReference w:id="30"/>
      </w:r>
      <w:r w:rsidRPr="003E023F">
        <w:rPr>
          <w:szCs w:val="24"/>
        </w:rPr>
        <w:t xml:space="preserve">. </w:t>
      </w:r>
    </w:p>
    <w:p w:rsidR="00572744" w:rsidRPr="003E023F" w:rsidRDefault="00572744" w:rsidP="00572744">
      <w:pPr>
        <w:tabs>
          <w:tab w:val="left" w:pos="851"/>
        </w:tabs>
        <w:ind w:left="-1350" w:right="-990" w:firstLine="851"/>
        <w:jc w:val="both"/>
        <w:rPr>
          <w:szCs w:val="24"/>
        </w:rPr>
      </w:pPr>
      <w:r w:rsidRPr="003E023F">
        <w:rPr>
          <w:szCs w:val="24"/>
        </w:rPr>
        <w:t>Încercând schiţarea unei cronologii a prezenţei ortodoxe, autorul citat scrie că istoria mişcării ecumenice şi în special a Consiliului Ecumenic al Bisericilor, este strâns legată de Biserica Ortodoxă. Prima propunere concretă, “fără precedent în istoria Bisericii”</w:t>
      </w:r>
      <w:r w:rsidRPr="003E023F">
        <w:rPr>
          <w:rStyle w:val="FootnoteReference"/>
          <w:szCs w:val="24"/>
        </w:rPr>
        <w:footnoteReference w:id="31"/>
      </w:r>
      <w:r w:rsidRPr="003E023F">
        <w:rPr>
          <w:szCs w:val="24"/>
        </w:rPr>
        <w:t>,  pentru stabilirea unei “</w:t>
      </w:r>
      <w:r w:rsidRPr="003E023F">
        <w:rPr>
          <w:i/>
          <w:szCs w:val="24"/>
        </w:rPr>
        <w:t>koinonia</w:t>
      </w:r>
      <w:r w:rsidRPr="003E023F">
        <w:rPr>
          <w:szCs w:val="24"/>
        </w:rPr>
        <w:t xml:space="preserve"> de biserici”, a fost făcută de Patriarhia Ecumenică, prin binecunoscuta enciclică</w:t>
      </w:r>
      <w:r w:rsidRPr="003E023F">
        <w:rPr>
          <w:rStyle w:val="FootnoteReference"/>
          <w:szCs w:val="24"/>
        </w:rPr>
        <w:footnoteReference w:id="32"/>
      </w:r>
      <w:r w:rsidRPr="003E023F">
        <w:rPr>
          <w:szCs w:val="24"/>
        </w:rPr>
        <w:t xml:space="preserve"> din anul 1920, în care, odată cu apelul de a se renunţa la prozelitism, se accentua convingerea că iubirea va face posibilă cooperarea bisericilor, şi chiar constituirea unei ligi - </w:t>
      </w:r>
      <w:r w:rsidRPr="003E023F">
        <w:rPr>
          <w:i/>
          <w:szCs w:val="24"/>
        </w:rPr>
        <w:t>koinonia</w:t>
      </w:r>
      <w:r w:rsidRPr="003E023F">
        <w:rPr>
          <w:szCs w:val="24"/>
        </w:rPr>
        <w:t xml:space="preserve"> a acestora, după exemplul Ligii Naţiunilor, dar modelul să fie cel nou-testamentar. </w:t>
      </w:r>
    </w:p>
    <w:p w:rsidR="00572744" w:rsidRPr="003E023F" w:rsidRDefault="00572744" w:rsidP="00572744">
      <w:pPr>
        <w:tabs>
          <w:tab w:val="left" w:pos="851"/>
        </w:tabs>
        <w:ind w:left="-1350" w:right="-990" w:firstLine="851"/>
        <w:jc w:val="both"/>
        <w:rPr>
          <w:szCs w:val="24"/>
        </w:rPr>
      </w:pPr>
      <w:r w:rsidRPr="003E023F">
        <w:rPr>
          <w:szCs w:val="24"/>
        </w:rPr>
        <w:t>Văzută dintr-o perspectivă ortodoxă, fondarea Consiliului Ecumenic al Bisericilor,</w:t>
      </w:r>
      <w:r>
        <w:rPr>
          <w:szCs w:val="24"/>
        </w:rPr>
        <w:t xml:space="preserve"> odată cu prima A</w:t>
      </w:r>
      <w:r w:rsidRPr="003E023F">
        <w:rPr>
          <w:szCs w:val="24"/>
        </w:rPr>
        <w:t xml:space="preserve">dunare </w:t>
      </w:r>
      <w:r>
        <w:rPr>
          <w:szCs w:val="24"/>
        </w:rPr>
        <w:t>G</w:t>
      </w:r>
      <w:r w:rsidRPr="003E023F">
        <w:rPr>
          <w:szCs w:val="24"/>
        </w:rPr>
        <w:t>enerală ţinută la Amsterdam în anul 1948, poate fi considerată într-un fel ca împlinirea unei propuneri făcută de Constantinopol cu 28 de ani înainte, cu atât mai mult cu cât modele de cooperare proiectate atunci au devenit bază pentru colaborare, cel puţin pentru primul deceniu de viaţă şi activitate al Consiliului. Este adevărat că la adunarea inaugurală, dintre ortodocşi au participat doar delegaţi ai Patriarhiei Ecumenice, ai  Bisericilor din Cipru şi Grecia, precum şi ai Episcopiei Ortodoxe Române din Statele Unite ale Americii. Celelalte Biserici Ortodoxe, deşi participaseră la mişcarea ecumenică între anii 1920-1938 (cu excepţia Bisericii Ortodoxe Ruse, care se confrunta cu marile necazuri cauzate de revoluţia bolşevică), nu au luat parte la prima adunare generală, din cauza recomandărilor conferinţei de la Moscova, ţinută doar cu o lună înainte, unde se decisese neparticiparea</w:t>
      </w:r>
      <w:r w:rsidRPr="003E023F">
        <w:rPr>
          <w:rStyle w:val="FootnoteReference"/>
          <w:szCs w:val="24"/>
        </w:rPr>
        <w:footnoteReference w:id="33"/>
      </w:r>
      <w:r w:rsidRPr="003E023F">
        <w:rPr>
          <w:szCs w:val="24"/>
        </w:rPr>
        <w:t>, nu din motive teologice sau ecclesiologice, ci din cauza “războiului rece”. S-a reuşit depăşirea situaţiei, şi între anii 1961 şi 1965 toate Bisericile Ortodoxe autocefale şi autonome au devenit membre ale Consiliului Ecumenic al Bisericilor</w:t>
      </w:r>
      <w:r w:rsidRPr="003E023F">
        <w:rPr>
          <w:rStyle w:val="FootnoteReference"/>
          <w:szCs w:val="24"/>
        </w:rPr>
        <w:footnoteReference w:id="34"/>
      </w:r>
      <w:r w:rsidRPr="003E023F">
        <w:rPr>
          <w:szCs w:val="24"/>
        </w:rPr>
        <w:t>.</w:t>
      </w:r>
    </w:p>
    <w:p w:rsidR="00572744" w:rsidRDefault="00572744" w:rsidP="00572744">
      <w:pPr>
        <w:tabs>
          <w:tab w:val="left" w:pos="851"/>
        </w:tabs>
        <w:ind w:left="-1350" w:right="-990" w:firstLine="851"/>
        <w:jc w:val="both"/>
        <w:rPr>
          <w:szCs w:val="24"/>
        </w:rPr>
      </w:pPr>
      <w:r w:rsidRPr="003E023F">
        <w:rPr>
          <w:szCs w:val="24"/>
        </w:rPr>
        <w:t>Prezenţa ortodoxă a însemnat şi înseamnă foarte mult pentru mişcarea ecumenică. Biserica Ortodoxă a participat activ la Comisia Credinţă şi Constituţie (</w:t>
      </w:r>
      <w:r w:rsidRPr="003E023F">
        <w:rPr>
          <w:i/>
          <w:szCs w:val="24"/>
        </w:rPr>
        <w:t>Faith and Order</w:t>
      </w:r>
      <w:r w:rsidRPr="003E023F">
        <w:rPr>
          <w:szCs w:val="24"/>
        </w:rPr>
        <w:t>), mărturisind “</w:t>
      </w:r>
      <w:r w:rsidRPr="003E023F">
        <w:rPr>
          <w:i/>
          <w:szCs w:val="24"/>
        </w:rPr>
        <w:t>credinţa</w:t>
      </w:r>
      <w:r w:rsidRPr="003E023F">
        <w:rPr>
          <w:szCs w:val="24"/>
        </w:rPr>
        <w:t xml:space="preserve"> </w:t>
      </w:r>
      <w:r w:rsidRPr="003E023F">
        <w:rPr>
          <w:i/>
          <w:szCs w:val="24"/>
        </w:rPr>
        <w:t>Apostolilor</w:t>
      </w:r>
      <w:r w:rsidRPr="003E023F">
        <w:rPr>
          <w:szCs w:val="24"/>
        </w:rPr>
        <w:t>”; Viaţă şi Lucrare (</w:t>
      </w:r>
      <w:r w:rsidRPr="003E023F">
        <w:rPr>
          <w:i/>
          <w:szCs w:val="24"/>
        </w:rPr>
        <w:t>Life and Work</w:t>
      </w:r>
      <w:r w:rsidRPr="003E023F">
        <w:rPr>
          <w:szCs w:val="24"/>
        </w:rPr>
        <w:t>) s-a îmbogăţit prin conceptele morale şi sociale promovate de ortodocşi; a accentuat semnificaţia şi rolul cultului, şi mai ales al Euharistiei în viaţa Bisericii; a dat expresie experienţei asceticii şi misticii prezente în viaţa trupului ecclesial; a avut şi are o contribuţie unică la continuarea dezbaterilor despre unitatea văzută. Dar, în acelaşi timp, Ortodoxia însăşi s-a îmbogăţit, atât din punct de vedere teologic, cât şi al dragostei creştine şi al solidarităţii umane. Consiliul a dezvoltat multe programe şi a pus în mişcare resurse în multe părţi ale lumii, în domeniile diakoniei, educaţiei teologice şi dialogului între biserici, teologii ortodocşi reuşind astfel să studieze în cele mai bune centre universitare din lume.</w:t>
      </w:r>
      <w:r>
        <w:rPr>
          <w:szCs w:val="24"/>
        </w:rPr>
        <w:t xml:space="preserve"> </w:t>
      </w:r>
    </w:p>
    <w:p w:rsidR="00572744" w:rsidRPr="003E023F" w:rsidRDefault="00572744" w:rsidP="00572744">
      <w:pPr>
        <w:tabs>
          <w:tab w:val="left" w:pos="851"/>
        </w:tabs>
        <w:ind w:left="-1350" w:right="-990" w:firstLine="851"/>
        <w:jc w:val="both"/>
        <w:rPr>
          <w:szCs w:val="24"/>
        </w:rPr>
      </w:pPr>
    </w:p>
    <w:p w:rsidR="00572744" w:rsidRPr="003E023F" w:rsidRDefault="00572744" w:rsidP="00572744">
      <w:pPr>
        <w:tabs>
          <w:tab w:val="left" w:pos="851"/>
        </w:tabs>
        <w:ind w:left="-1350" w:right="-990"/>
        <w:jc w:val="both"/>
        <w:rPr>
          <w:i/>
          <w:szCs w:val="24"/>
        </w:rPr>
      </w:pPr>
      <w:r w:rsidRPr="003E023F">
        <w:rPr>
          <w:i/>
          <w:szCs w:val="24"/>
        </w:rPr>
        <w:t xml:space="preserve"> </w:t>
      </w:r>
      <w:r>
        <w:rPr>
          <w:i/>
          <w:szCs w:val="24"/>
        </w:rPr>
        <w:t>4.</w:t>
      </w:r>
      <w:r w:rsidRPr="003E023F">
        <w:rPr>
          <w:i/>
          <w:szCs w:val="24"/>
        </w:rPr>
        <w:t>Fundamentele biblice ale Bisericii universale</w:t>
      </w:r>
    </w:p>
    <w:p w:rsidR="00572744" w:rsidRPr="003E023F" w:rsidRDefault="00572744" w:rsidP="00572744">
      <w:pPr>
        <w:tabs>
          <w:tab w:val="left" w:pos="851"/>
        </w:tabs>
        <w:ind w:left="-1350" w:right="-990" w:firstLine="851"/>
        <w:jc w:val="both"/>
        <w:rPr>
          <w:b/>
          <w:i/>
          <w:szCs w:val="24"/>
        </w:rPr>
      </w:pPr>
      <w:r w:rsidRPr="003E023F">
        <w:rPr>
          <w:b/>
          <w:i/>
          <w:szCs w:val="24"/>
        </w:rPr>
        <w:t xml:space="preserve">   </w:t>
      </w:r>
    </w:p>
    <w:p w:rsidR="00572744" w:rsidRPr="003E023F" w:rsidRDefault="00572744" w:rsidP="00572744">
      <w:pPr>
        <w:tabs>
          <w:tab w:val="left" w:pos="851"/>
        </w:tabs>
        <w:ind w:left="-1350" w:right="-990" w:firstLine="851"/>
        <w:jc w:val="both"/>
        <w:rPr>
          <w:szCs w:val="24"/>
        </w:rPr>
      </w:pPr>
      <w:r>
        <w:rPr>
          <w:szCs w:val="24"/>
        </w:rPr>
        <w:lastRenderedPageBreak/>
        <w:t xml:space="preserve">  C</w:t>
      </w:r>
      <w:r w:rsidRPr="003E023F">
        <w:rPr>
          <w:szCs w:val="24"/>
        </w:rPr>
        <w:t xml:space="preserve">onsiderăm că este relevantă, pentru scopul prezentării de faţă, structurarea materialului conform succesiunii din </w:t>
      </w:r>
      <w:r w:rsidRPr="003E023F">
        <w:rPr>
          <w:i/>
          <w:szCs w:val="24"/>
        </w:rPr>
        <w:t>Faptele Apostolilor</w:t>
      </w:r>
      <w:r w:rsidRPr="003E023F">
        <w:rPr>
          <w:szCs w:val="24"/>
        </w:rPr>
        <w:t xml:space="preserve"> 2,42. După ce istoriseşte evenimentul întemeierii Bisericii, Sfântul Evanghelist Luca ne spune că primii creştini:</w:t>
      </w:r>
      <w:r>
        <w:rPr>
          <w:szCs w:val="24"/>
        </w:rPr>
        <w:t xml:space="preserve"> </w:t>
      </w:r>
      <w:r w:rsidRPr="003E023F">
        <w:rPr>
          <w:szCs w:val="24"/>
        </w:rPr>
        <w:t>“stăruiau în învăţătura Apostolilor</w:t>
      </w:r>
      <w:r w:rsidRPr="003E023F">
        <w:rPr>
          <w:i/>
          <w:szCs w:val="24"/>
        </w:rPr>
        <w:t xml:space="preserve"> </w:t>
      </w:r>
      <w:r w:rsidRPr="003E023F">
        <w:rPr>
          <w:szCs w:val="24"/>
        </w:rPr>
        <w:t>(</w:t>
      </w:r>
      <w:r w:rsidRPr="003E023F">
        <w:rPr>
          <w:i/>
          <w:szCs w:val="24"/>
        </w:rPr>
        <w:t>te didahe ton Apostolon, doctrina Apostolorum</w:t>
      </w:r>
      <w:r w:rsidRPr="003E023F">
        <w:rPr>
          <w:szCs w:val="24"/>
        </w:rPr>
        <w:t>) şi în împărtăşire [legătură frăţească] (</w:t>
      </w:r>
      <w:r w:rsidRPr="003E023F">
        <w:rPr>
          <w:i/>
          <w:szCs w:val="24"/>
        </w:rPr>
        <w:t>te koinonia, communicatione</w:t>
      </w:r>
      <w:r w:rsidRPr="003E023F">
        <w:rPr>
          <w:szCs w:val="24"/>
        </w:rPr>
        <w:t>), în frângerea pâinii (</w:t>
      </w:r>
      <w:r w:rsidRPr="003E023F">
        <w:rPr>
          <w:i/>
          <w:szCs w:val="24"/>
        </w:rPr>
        <w:t>te klasei ton arton, fractionis panis</w:t>
      </w:r>
      <w:r w:rsidRPr="003E023F">
        <w:rPr>
          <w:szCs w:val="24"/>
        </w:rPr>
        <w:t>)]şi în rugăciuni (</w:t>
      </w:r>
      <w:r w:rsidRPr="003E023F">
        <w:rPr>
          <w:i/>
          <w:szCs w:val="24"/>
        </w:rPr>
        <w:t>tais proseuhais, orationibus</w:t>
      </w:r>
      <w:r w:rsidRPr="003E023F">
        <w:rPr>
          <w:szCs w:val="24"/>
        </w:rPr>
        <w:t>)”(</w:t>
      </w:r>
      <w:r w:rsidRPr="003E023F">
        <w:rPr>
          <w:i/>
          <w:szCs w:val="24"/>
        </w:rPr>
        <w:t>F.Ap.</w:t>
      </w:r>
      <w:r w:rsidRPr="003E023F">
        <w:rPr>
          <w:szCs w:val="24"/>
        </w:rPr>
        <w:t xml:space="preserve">2,42). </w:t>
      </w:r>
      <w:r>
        <w:rPr>
          <w:szCs w:val="24"/>
        </w:rPr>
        <w:t xml:space="preserve"> </w:t>
      </w:r>
      <w:r w:rsidRPr="003E023F">
        <w:rPr>
          <w:szCs w:val="24"/>
        </w:rPr>
        <w:t>Mărturisirea comună a</w:t>
      </w:r>
      <w:r w:rsidRPr="003E023F">
        <w:rPr>
          <w:i/>
          <w:szCs w:val="24"/>
        </w:rPr>
        <w:t xml:space="preserve"> </w:t>
      </w:r>
      <w:r w:rsidRPr="003E023F">
        <w:rPr>
          <w:b/>
          <w:i/>
          <w:szCs w:val="24"/>
        </w:rPr>
        <w:t>învăţăturii</w:t>
      </w:r>
      <w:r w:rsidRPr="003E023F">
        <w:rPr>
          <w:i/>
          <w:szCs w:val="24"/>
        </w:rPr>
        <w:t xml:space="preserve"> </w:t>
      </w:r>
      <w:r w:rsidRPr="003E023F">
        <w:rPr>
          <w:b/>
          <w:i/>
          <w:szCs w:val="24"/>
        </w:rPr>
        <w:t>Apostolilor</w:t>
      </w:r>
      <w:r w:rsidRPr="003E023F">
        <w:rPr>
          <w:i/>
          <w:szCs w:val="24"/>
        </w:rPr>
        <w:t xml:space="preserve">, </w:t>
      </w:r>
      <w:r w:rsidRPr="003E023F">
        <w:rPr>
          <w:szCs w:val="24"/>
        </w:rPr>
        <w:t xml:space="preserve"> trăirea plenară a vieţii de </w:t>
      </w:r>
      <w:r w:rsidRPr="003E023F">
        <w:rPr>
          <w:b/>
          <w:szCs w:val="24"/>
        </w:rPr>
        <w:t>comuniune (</w:t>
      </w:r>
      <w:r w:rsidRPr="003E023F">
        <w:rPr>
          <w:i/>
          <w:szCs w:val="24"/>
        </w:rPr>
        <w:t>koinonia</w:t>
      </w:r>
      <w:r w:rsidRPr="003E023F">
        <w:rPr>
          <w:szCs w:val="24"/>
        </w:rPr>
        <w:t xml:space="preserve">),  </w:t>
      </w:r>
      <w:r w:rsidRPr="003E023F">
        <w:rPr>
          <w:b/>
          <w:i/>
          <w:szCs w:val="24"/>
        </w:rPr>
        <w:t>împărtăşirea</w:t>
      </w:r>
      <w:r w:rsidRPr="003E023F">
        <w:rPr>
          <w:i/>
          <w:szCs w:val="24"/>
        </w:rPr>
        <w:t xml:space="preserve"> </w:t>
      </w:r>
      <w:r w:rsidRPr="003E023F">
        <w:rPr>
          <w:szCs w:val="24"/>
        </w:rPr>
        <w:t xml:space="preserve">din acelaşi Potir şi </w:t>
      </w:r>
      <w:r w:rsidRPr="003E023F">
        <w:rPr>
          <w:b/>
          <w:i/>
          <w:szCs w:val="24"/>
        </w:rPr>
        <w:t>rugăciuni</w:t>
      </w:r>
      <w:r w:rsidRPr="003E023F">
        <w:rPr>
          <w:szCs w:val="24"/>
        </w:rPr>
        <w:t xml:space="preserve"> pentru “unirea tuturor” formează o unitate în care se exprimă identitatea şi integritatea Bisericii. Succesiunea este foarte importantă, fiind relevantă şi pentru Sfânta Liturghie unde mai întâi mărturisim că suntem în comuniune de credinţă şi iubire, apoi ne împărtăşim din acelaşi Potir, şi astfel ieşim „cu pace” din locaşurile sfinte, pentru a săvârşi „liturghia după Liturgie”, adică slujirea lumii prin rugăciuni şi fapte bune.</w:t>
      </w:r>
    </w:p>
    <w:p w:rsidR="00572744" w:rsidRPr="00AA3214" w:rsidRDefault="00572744" w:rsidP="00572744">
      <w:pPr>
        <w:ind w:left="-1350" w:right="-990"/>
        <w:jc w:val="both"/>
        <w:rPr>
          <w:i/>
          <w:szCs w:val="24"/>
        </w:rPr>
      </w:pPr>
    </w:p>
    <w:p w:rsidR="00572744" w:rsidRPr="00AA3214" w:rsidRDefault="00572744" w:rsidP="00572744">
      <w:pPr>
        <w:ind w:left="-1350" w:right="-990"/>
        <w:jc w:val="both"/>
        <w:rPr>
          <w:i/>
          <w:szCs w:val="24"/>
        </w:rPr>
      </w:pPr>
      <w:r w:rsidRPr="00AA3214">
        <w:rPr>
          <w:i/>
          <w:szCs w:val="24"/>
        </w:rPr>
        <w:t>A. Învăţătura Apostolilor - infinitus progressus in idem</w:t>
      </w:r>
      <w:r w:rsidRPr="00AA3214">
        <w:rPr>
          <w:i/>
          <w:szCs w:val="24"/>
        </w:rPr>
        <w:tab/>
      </w:r>
    </w:p>
    <w:p w:rsidR="00572744" w:rsidRPr="00AA3214" w:rsidRDefault="00572744" w:rsidP="00572744">
      <w:pPr>
        <w:ind w:left="-1350" w:right="-990"/>
        <w:jc w:val="both"/>
        <w:rPr>
          <w:i/>
          <w:szCs w:val="24"/>
        </w:rPr>
      </w:pPr>
    </w:p>
    <w:p w:rsidR="00572744" w:rsidRDefault="00572744" w:rsidP="00572744">
      <w:pPr>
        <w:ind w:left="-1350" w:right="-990" w:firstLine="851"/>
        <w:jc w:val="both"/>
        <w:rPr>
          <w:szCs w:val="24"/>
        </w:rPr>
      </w:pPr>
      <w:r w:rsidRPr="003E023F">
        <w:rPr>
          <w:szCs w:val="24"/>
        </w:rPr>
        <w:t xml:space="preserve">Sintagma </w:t>
      </w:r>
      <w:r w:rsidRPr="003E023F">
        <w:rPr>
          <w:i/>
          <w:szCs w:val="24"/>
        </w:rPr>
        <w:t xml:space="preserve">învăţătura Apostolilor </w:t>
      </w:r>
      <w:r w:rsidRPr="003E023F">
        <w:rPr>
          <w:szCs w:val="24"/>
        </w:rPr>
        <w:t>se referă la realitatea istorică, dinamică a credinţei creştine, revelate de Mântuitorul, statornicită prin mărturia normativă a Sfintei Scripturi şi a Sfintei Tradiţii, explicată, transmisă şi proclamată în şi prin Biserică, sub asistenţă Sfântului Duh. De fapt “dialogul viu al Bisericii cu Hristos se poartă în mod principal prin Sfânta Scriptură şi prin Sfânta Tradiţie”</w:t>
      </w:r>
      <w:r w:rsidRPr="003E023F">
        <w:rPr>
          <w:rStyle w:val="FootnoteReference"/>
          <w:szCs w:val="24"/>
        </w:rPr>
        <w:footnoteReference w:id="35"/>
      </w:r>
      <w:r w:rsidRPr="003E023F">
        <w:rPr>
          <w:szCs w:val="24"/>
        </w:rPr>
        <w:t>, Sfânta Tradiţie fiind “permanentizarea” acestui dialog</w:t>
      </w:r>
      <w:r w:rsidRPr="003E023F">
        <w:rPr>
          <w:rStyle w:val="FootnoteReference"/>
          <w:szCs w:val="24"/>
        </w:rPr>
        <w:footnoteReference w:id="36"/>
      </w:r>
      <w:r w:rsidRPr="003E023F">
        <w:rPr>
          <w:szCs w:val="24"/>
        </w:rPr>
        <w:t>. Biserica Ortodoxă este cunoscută ca Biserica Tradiţiei, deoarece a păstrat cu fidelitate conţinutul kerygmei apostolice şi practica sacramentală apostolică în întregimea lor</w:t>
      </w:r>
      <w:r w:rsidRPr="003E023F">
        <w:rPr>
          <w:rStyle w:val="FootnoteReference"/>
          <w:szCs w:val="24"/>
        </w:rPr>
        <w:footnoteReference w:id="37"/>
      </w:r>
      <w:r w:rsidRPr="003E023F">
        <w:rPr>
          <w:szCs w:val="24"/>
        </w:rPr>
        <w:t xml:space="preserve">. După cum se ştie, problemele apar atunci când diverse confesiuni sau grupări creştine îşi arogă, adesea în exclusivitate, exact această fidelitate deplină faţă de “începuturi”, susţin că s-au întors şi sunt în conformitate cu perioada primară a Bisericii, când exista o „unitate în diversitate”. </w:t>
      </w:r>
    </w:p>
    <w:p w:rsidR="00572744" w:rsidRPr="003E023F" w:rsidRDefault="00572744" w:rsidP="00572744">
      <w:pPr>
        <w:ind w:left="-1350" w:right="-990" w:firstLine="851"/>
        <w:jc w:val="both"/>
        <w:rPr>
          <w:szCs w:val="24"/>
        </w:rPr>
      </w:pPr>
      <w:r w:rsidRPr="003E023F">
        <w:rPr>
          <w:szCs w:val="24"/>
        </w:rPr>
        <w:t>Comentând documentul: „Scripură şi Tradiţie”</w:t>
      </w:r>
      <w:r w:rsidRPr="003E023F">
        <w:rPr>
          <w:rStyle w:val="FootnoteReference"/>
          <w:szCs w:val="24"/>
        </w:rPr>
        <w:footnoteReference w:id="38"/>
      </w:r>
      <w:r w:rsidRPr="003E023F">
        <w:rPr>
          <w:szCs w:val="24"/>
        </w:rPr>
        <w:t xml:space="preserve"> al Comisiei Credinţă şi Constituţie (</w:t>
      </w:r>
      <w:r w:rsidRPr="003E023F">
        <w:rPr>
          <w:i/>
          <w:szCs w:val="24"/>
        </w:rPr>
        <w:t>Faith and Order</w:t>
      </w:r>
      <w:r w:rsidRPr="003E023F">
        <w:rPr>
          <w:szCs w:val="24"/>
        </w:rPr>
        <w:t>) a Consiliului Ecumenic al Bisericilor, părintele Stăniloae arată că autorii, teologi protestanţi şi anglicani, reduc divers</w:t>
      </w:r>
      <w:r>
        <w:rPr>
          <w:szCs w:val="24"/>
        </w:rPr>
        <w:t>itatea tradiţiilor diferitelor B</w:t>
      </w:r>
      <w:r w:rsidRPr="003E023F">
        <w:rPr>
          <w:szCs w:val="24"/>
        </w:rPr>
        <w:t>iserici actuale, la acea diversitate de tradiţii existente chiar în Sfânta Scriptură, de aceea “căutarea unităţii între diferitele tradiţii ale Bisericii va trebui să-şi însuşească unitatea Evangheliei, aşa cum o reflectă pluralitatea diferitelor mărturii biblice”</w:t>
      </w:r>
      <w:r w:rsidRPr="003E023F">
        <w:rPr>
          <w:rStyle w:val="FootnoteReference"/>
          <w:szCs w:val="24"/>
        </w:rPr>
        <w:footnoteReference w:id="39"/>
      </w:r>
      <w:r w:rsidRPr="003E023F">
        <w:rPr>
          <w:szCs w:val="24"/>
        </w:rPr>
        <w:t>. Mai mult, se consideră că: „varietatea de gândire în interiorul Bibliei reflectă diversitatea acţiunilor lui Dumnezeu în diferite situaţii istorice şi diversitatea răspunsurilor umane la acţiunile lui Dumnezeu”, prin urmare “este important ca cercetătorul să nu se ataşeze la o singură cugetare biblică, chiar dacă i se pare centrală. Căci aceasta l-ar conduce la o neînţelegere a acestei varietăţi şi a acestei  bogăţii”</w:t>
      </w:r>
      <w:r w:rsidRPr="003E023F">
        <w:rPr>
          <w:rStyle w:val="FootnoteReference"/>
          <w:szCs w:val="24"/>
        </w:rPr>
        <w:footnoteReference w:id="40"/>
      </w:r>
      <w:r w:rsidRPr="003E023F">
        <w:rPr>
          <w:szCs w:val="24"/>
        </w:rPr>
        <w:t>. Părintele Stăniloae vede în această  recomandare adrea</w:t>
      </w:r>
      <w:r>
        <w:rPr>
          <w:szCs w:val="24"/>
        </w:rPr>
        <w:t>sată nu doar exegeţilor, ci şi B</w:t>
      </w:r>
      <w:r w:rsidRPr="003E023F">
        <w:rPr>
          <w:szCs w:val="24"/>
        </w:rPr>
        <w:t>isericilor, posibilitatea apropierii ecumeni</w:t>
      </w:r>
      <w:r>
        <w:rPr>
          <w:szCs w:val="24"/>
        </w:rPr>
        <w:t>ce, deosebirile actuale dintre B</w:t>
      </w:r>
      <w:r w:rsidRPr="003E023F">
        <w:rPr>
          <w:szCs w:val="24"/>
        </w:rPr>
        <w:t>iserici, datorându-se faptului că au adoptat unilateral unele sau altele dintre afirmaţiile Sfintei Scripturi, nesocotindu-le pe celelalte la fel de importante</w:t>
      </w:r>
      <w:r w:rsidRPr="003E023F">
        <w:rPr>
          <w:rStyle w:val="FootnoteReference"/>
          <w:szCs w:val="24"/>
        </w:rPr>
        <w:footnoteReference w:id="41"/>
      </w:r>
      <w:r w:rsidRPr="003E023F">
        <w:rPr>
          <w:szCs w:val="24"/>
        </w:rPr>
        <w:t xml:space="preserve">, respectarea acestei recomandări deschizând calea spre </w:t>
      </w:r>
      <w:r w:rsidRPr="003E023F">
        <w:rPr>
          <w:i/>
          <w:szCs w:val="24"/>
        </w:rPr>
        <w:t>sobornicitate</w:t>
      </w:r>
      <w:r w:rsidRPr="003E023F">
        <w:rPr>
          <w:rStyle w:val="FootnoteReference"/>
          <w:szCs w:val="24"/>
        </w:rPr>
        <w:footnoteReference w:id="42"/>
      </w:r>
      <w:r w:rsidRPr="003E023F">
        <w:rPr>
          <w:i/>
          <w:szCs w:val="24"/>
        </w:rPr>
        <w:t xml:space="preserve">  </w:t>
      </w:r>
      <w:r w:rsidRPr="003E023F">
        <w:rPr>
          <w:b/>
          <w:szCs w:val="24"/>
        </w:rPr>
        <w:t xml:space="preserve">- </w:t>
      </w:r>
      <w:r w:rsidRPr="003E023F">
        <w:rPr>
          <w:szCs w:val="24"/>
        </w:rPr>
        <w:t xml:space="preserve">considerăm  că avem aici o concepţie hermeneutică deschisă şi o  maximă disponibilitate pentru dialog. Imaginile şi simbolurile folosite în Sfânta Scriptură au dus la bogăţia sensurilor. Dacă limbajul acestor imagini şi simboluri e transpus într-unul conceptual “se riscă să li se îngusteze  prea mult sensul” şi prin aceasta să le şi “falsifice”, se precizează în documentul citat (p.61). Părintele Stăniloae îşi continuă comentariul arătând că orice simbol sau imagine spune mai mult decât se poate exprima prin concepte, având ceva indefinit, “de aceea, trebuie folosite alte imagini sau o </w:t>
      </w:r>
      <w:r w:rsidRPr="003E023F">
        <w:rPr>
          <w:szCs w:val="24"/>
        </w:rPr>
        <w:lastRenderedPageBreak/>
        <w:t>pluralitate de cuvinte prin care să se exprime cu aproximaţie, sau să se sugereze bogatul lui conţinut imposibil de definit exact. Pentru că imaginea sau simbolul, fiind un termen luat din ordinea materială, exprimă ceva din ordinea spirituală, sau şi din ordinea spirituală, imposibil de definit exact. Recunoscând acest principiu hermeneutic, numeroasele grupuri de teologi protestanţi şi anglicani, care au pregătit documentul, şi însăşi Comisia “Credinţă şi Constituţie” proclamă insuficienţa interpretării pur literale, lăudată mult timp în Occident ca singura exegeză “ştiinţifică”, şi recunosc valoarea vechii interpretări patristice spirituale, dispreţuită până de curând de exegeza “ştiinţifică” pur literală</w:t>
      </w:r>
      <w:r w:rsidRPr="003E023F">
        <w:rPr>
          <w:rStyle w:val="FootnoteReference"/>
          <w:szCs w:val="24"/>
        </w:rPr>
        <w:footnoteReference w:id="43"/>
      </w:r>
      <w:r w:rsidRPr="003E023F">
        <w:rPr>
          <w:szCs w:val="24"/>
        </w:rPr>
        <w:t>. Un alt principiu hermeneutic recunoscut de documentul în discuţie ar fi: „nici o parte nu-şi descoperă sensul ei decât pe fundalul ansamblului, iar relaţia unui pasaj cu ansamblul textului revelează semnificaţii noi care nu ies la iveală dacă pasajul este privit izolat” (p.62).</w:t>
      </w:r>
    </w:p>
    <w:p w:rsidR="00572744" w:rsidRPr="003E023F" w:rsidRDefault="00572744" w:rsidP="00572744">
      <w:pPr>
        <w:ind w:left="-1350" w:right="-990" w:firstLine="851"/>
        <w:jc w:val="both"/>
        <w:rPr>
          <w:szCs w:val="24"/>
        </w:rPr>
      </w:pPr>
      <w:r w:rsidRPr="003E023F">
        <w:rPr>
          <w:szCs w:val="24"/>
        </w:rPr>
        <w:t>Adoptarea unor sensuri unilaterale s-a manifestat de la început în creştinism. Erezia este de fapt alegerea oarecum arbitrară a unui aspect din unitatea complexă sau dialectică a două sau mai multe aspecte şi negarea celorlalte, sărăcindu-se astfel realităţile teologice bogate şi complexe</w:t>
      </w:r>
      <w:r w:rsidRPr="003E023F">
        <w:rPr>
          <w:rStyle w:val="FootnoteReference"/>
          <w:szCs w:val="24"/>
        </w:rPr>
        <w:footnoteReference w:id="44"/>
      </w:r>
      <w:r w:rsidRPr="003E023F">
        <w:rPr>
          <w:szCs w:val="24"/>
        </w:rPr>
        <w:t>. Dar, în timp ce în Răsărit, cu excepţia ereziilor hristologice, toate celelalte s-au resorbit până la urmă în Biserică, atât datorită ajutorului dat de Imperiu bizantin, cât mai ales faptului că „Biserica nu s-a plasat pe o altă poziţie unilaterală şi contradictorie faţă de poziţia unilaterală a unei erezii sau a alteia, ci s-a menţinut pe o poziţie de largă îmbrăţişare a tuturor aspectelor credinţei”</w:t>
      </w:r>
      <w:r w:rsidRPr="003E023F">
        <w:rPr>
          <w:rStyle w:val="FootnoteReference"/>
          <w:szCs w:val="24"/>
        </w:rPr>
        <w:footnoteReference w:id="45"/>
      </w:r>
      <w:r w:rsidRPr="003E023F">
        <w:rPr>
          <w:szCs w:val="24"/>
        </w:rPr>
        <w:t>, în Apus, dacă Roma a ales pentru legitimarea autorităţii sale textele scripturistice care păreau să cuprindă ideea unui primat al Sfântului Apostol Petru, reformatorii le-au ales, pentru legitimarea respingerii oricărei structuri în Biserică, pe acelea care vorbesc despre preoţia generală, viaţa comunităţii primare, varietatea slujirilor, nesocotindu-le pe cele care vorbesc despre preoţia slujitoare, Sfintele Taine şi celelalte aspecte care au dus la controverse. Protestului anticatolic dintr-o parte, îi răspundea antireforma din cealaltă. S-a pierdut astfel orientarea după “complexitatea suplă, echilibrată a realităţii exprimată de Evanghelie, şi a unei vieţi bogate şi autentice”, dominând “un spirit de alternative dure, tranşante, obişnuit cu simplificările unui raţionalism simplist, inferior”</w:t>
      </w:r>
      <w:r w:rsidRPr="003E023F">
        <w:rPr>
          <w:rStyle w:val="FootnoteReference"/>
          <w:szCs w:val="24"/>
        </w:rPr>
        <w:footnoteReference w:id="46"/>
      </w:r>
      <w:r w:rsidRPr="003E023F">
        <w:rPr>
          <w:szCs w:val="24"/>
        </w:rPr>
        <w:t xml:space="preserve">.                                                                                                                                                                                                         </w:t>
      </w:r>
    </w:p>
    <w:p w:rsidR="00572744" w:rsidRPr="003E023F" w:rsidRDefault="00572744" w:rsidP="00572744">
      <w:pPr>
        <w:tabs>
          <w:tab w:val="left" w:pos="851"/>
          <w:tab w:val="left" w:pos="1134"/>
        </w:tabs>
        <w:ind w:left="-1350" w:right="-990" w:firstLine="851"/>
        <w:jc w:val="both"/>
        <w:rPr>
          <w:i/>
          <w:szCs w:val="24"/>
        </w:rPr>
      </w:pPr>
      <w:r w:rsidRPr="003E023F">
        <w:rPr>
          <w:szCs w:val="24"/>
        </w:rPr>
        <w:t>În continuare, părintele Stăniloae găseşte de cuviinţă să prezinte spiritul Ortodoxiei</w:t>
      </w:r>
      <w:r>
        <w:rPr>
          <w:szCs w:val="24"/>
        </w:rPr>
        <w:t>,</w:t>
      </w:r>
      <w:r w:rsidRPr="003E023F">
        <w:rPr>
          <w:szCs w:val="24"/>
        </w:rPr>
        <w:t xml:space="preserve"> care nu s-ar caracteriza prin tendinţa spre confruntare</w:t>
      </w:r>
      <w:r w:rsidRPr="003E023F">
        <w:rPr>
          <w:rStyle w:val="FootnoteReference"/>
          <w:szCs w:val="24"/>
        </w:rPr>
        <w:footnoteReference w:id="47"/>
      </w:r>
      <w:r w:rsidRPr="003E023F">
        <w:rPr>
          <w:szCs w:val="24"/>
        </w:rPr>
        <w:t xml:space="preserve">, ci, dimpotrivă, </w:t>
      </w:r>
      <w:r>
        <w:rPr>
          <w:szCs w:val="24"/>
        </w:rPr>
        <w:t>prin</w:t>
      </w:r>
      <w:r w:rsidRPr="003E023F">
        <w:rPr>
          <w:szCs w:val="24"/>
        </w:rPr>
        <w:t xml:space="preserve"> îmbrăţişarea învăţăturii în integralitatea sa, de aceea “în setea  după învăţătura şi viaţa creştină complexă” creştinii occidentali se întâlnesc cu Ortodoxia, mulţi considerând că “unitatea creştinismului nu se poate realiza în afara Ortodoxiei, că nu se poate realiza decât sub semnul Ortodoxiei, sub semnul revenirii la plenitudinea iniţială”</w:t>
      </w:r>
      <w:r w:rsidRPr="003E023F">
        <w:rPr>
          <w:rStyle w:val="FootnoteReference"/>
          <w:szCs w:val="24"/>
        </w:rPr>
        <w:footnoteReference w:id="48"/>
      </w:r>
      <w:r w:rsidRPr="003E023F">
        <w:rPr>
          <w:szCs w:val="24"/>
        </w:rPr>
        <w:t xml:space="preserve">. Din cauza acestei afirmaţii autorul nu poate fi acuzat de exclusivism sau de idealizarea realităţii, deoarece imediat se pronunţă critic în legătură cu modul actualizării valenţelor Ortodoxiei pe planul spiritualităţii şi al eficienţei în viaţa credincioşilor, pledând pentru îmbogăţirea sobornicităţii ortodoxe şi cu valorile pe care le-au actualizat mai mult creştinii occidentali.Găseşte chiar scuzabilă accentuarea unităţii în catolicism, întrucât în Răsărit nu s-ar mai fi trăit cu toată intensitatea unitatea creştină sub forma superioară a comunităţii universale între Bisericile locale. Însă, pe de altă parte, afirmarea juridic-centralistă a unităţii creştinismului, i-a determinat pe ortodocşi să accentueze independenţa Bisericii lor locale, decât formele de menţinere a unităţii lor - ajungându-se la situaţii penibile cum este cea a calendarului (n.n.) - , iar după apariţia protestantismului “a preluat în practică de la catolicism un fel de anti-reformă, accentuând Tradiţia în dauna Sfintei Scripturi şi importanţa actelor obiective ale Tainelor şi a ierarhiei în </w:t>
      </w:r>
      <w:r w:rsidRPr="003E023F">
        <w:rPr>
          <w:szCs w:val="24"/>
        </w:rPr>
        <w:lastRenderedPageBreak/>
        <w:t>dauna trăirii personale şi în comuniunea legăturii cu Dumnezeu”</w:t>
      </w:r>
      <w:r w:rsidRPr="003E023F">
        <w:rPr>
          <w:rStyle w:val="FootnoteReference"/>
          <w:szCs w:val="24"/>
        </w:rPr>
        <w:footnoteReference w:id="49"/>
      </w:r>
      <w:r w:rsidRPr="003E023F">
        <w:rPr>
          <w:szCs w:val="24"/>
        </w:rPr>
        <w:t xml:space="preserve">. Această analiză lucidă trebuie să constituie un îndemn pentru ortodocşi să fie într-adevăr dreptmăritori şi drept-făptuitori, ortodoxia înseamnă şi ortopraxie, iar pentru ceilalţi să-şi reanalizeze aspectele credinţei care nu mai sunt în concordanţă cu perioada primară. </w:t>
      </w:r>
      <w:r w:rsidRPr="003E023F">
        <w:rPr>
          <w:i/>
          <w:szCs w:val="24"/>
        </w:rPr>
        <w:t xml:space="preserve">Totodată transpare deschiderea spre dialog,  refuzul de a emite judecăţi apriorice, dorinţa de a valoriza tendinţele de apropiere de învăţătura autentică a Bisericii. </w:t>
      </w:r>
    </w:p>
    <w:p w:rsidR="00572744" w:rsidRPr="003E023F" w:rsidRDefault="00572744" w:rsidP="00572744">
      <w:pPr>
        <w:tabs>
          <w:tab w:val="left" w:pos="851"/>
          <w:tab w:val="left" w:pos="1134"/>
        </w:tabs>
        <w:ind w:left="-1350" w:right="-990" w:firstLine="851"/>
        <w:jc w:val="both"/>
        <w:rPr>
          <w:i/>
          <w:szCs w:val="24"/>
        </w:rPr>
      </w:pPr>
    </w:p>
    <w:p w:rsidR="00572744" w:rsidRPr="003E023F" w:rsidRDefault="00572744" w:rsidP="00572744">
      <w:pPr>
        <w:tabs>
          <w:tab w:val="left" w:pos="851"/>
          <w:tab w:val="left" w:pos="1134"/>
        </w:tabs>
        <w:ind w:left="-1350" w:right="-990"/>
        <w:jc w:val="both"/>
        <w:rPr>
          <w:i/>
          <w:szCs w:val="24"/>
        </w:rPr>
      </w:pPr>
      <w:r w:rsidRPr="003E023F">
        <w:rPr>
          <w:i/>
          <w:szCs w:val="24"/>
        </w:rPr>
        <w:t>a.„Să accentuăm ceea ce ne uneşte!”</w:t>
      </w:r>
    </w:p>
    <w:p w:rsidR="00572744" w:rsidRPr="003E023F" w:rsidRDefault="00572744" w:rsidP="00572744">
      <w:pPr>
        <w:tabs>
          <w:tab w:val="left" w:pos="851"/>
          <w:tab w:val="left" w:pos="1134"/>
        </w:tabs>
        <w:ind w:left="-1350" w:right="-990" w:firstLine="851"/>
        <w:jc w:val="both"/>
        <w:rPr>
          <w:szCs w:val="24"/>
        </w:rPr>
      </w:pPr>
    </w:p>
    <w:p w:rsidR="00572744" w:rsidRDefault="00572744" w:rsidP="00572744">
      <w:pPr>
        <w:tabs>
          <w:tab w:val="left" w:pos="851"/>
          <w:tab w:val="left" w:pos="1134"/>
        </w:tabs>
        <w:ind w:left="-1350" w:right="-990" w:firstLine="851"/>
        <w:jc w:val="both"/>
        <w:rPr>
          <w:szCs w:val="24"/>
        </w:rPr>
      </w:pPr>
      <w:r w:rsidRPr="003E023F">
        <w:rPr>
          <w:szCs w:val="24"/>
        </w:rPr>
        <w:t>Din această perspectivă, considerăm că este important ca mai întâi să se analizeze un studiu</w:t>
      </w:r>
      <w:r w:rsidRPr="003E023F">
        <w:rPr>
          <w:rStyle w:val="FootnoteReference"/>
          <w:szCs w:val="24"/>
        </w:rPr>
        <w:footnoteReference w:id="50"/>
      </w:r>
      <w:r w:rsidRPr="003E023F">
        <w:rPr>
          <w:szCs w:val="24"/>
        </w:rPr>
        <w:t xml:space="preserve"> publicat când părintele Stăniloae împlinea venerabila vârstă de optzeci de ani. De la început se arată că, în pofida faptului că manualele de Dogmatică ortodoxă prezintă justificarea luterană ca un act prin care omul este asigurat că păcatele lui  sunt iertate, fără a fi şterse (</w:t>
      </w:r>
      <w:r w:rsidRPr="003E023F">
        <w:rPr>
          <w:i/>
          <w:szCs w:val="24"/>
        </w:rPr>
        <w:t>simul justus et peccator</w:t>
      </w:r>
      <w:r w:rsidRPr="003E023F">
        <w:rPr>
          <w:szCs w:val="24"/>
        </w:rPr>
        <w:t>), sau fără a se produce vreo schimbare în fiinţa lui (</w:t>
      </w:r>
      <w:r w:rsidRPr="003E023F">
        <w:rPr>
          <w:i/>
          <w:szCs w:val="24"/>
        </w:rPr>
        <w:t>actus forensis</w:t>
      </w:r>
      <w:r w:rsidRPr="003E023F">
        <w:rPr>
          <w:szCs w:val="24"/>
        </w:rPr>
        <w:t>), din studiile teologilor protestanţi din epoca mai recentă şi chiar din textele din opera lui Luther, pe care se bazează, se poate constata că “justificarea este înţeleasă de Luther adeseori ca un act care produce o viaţă nouă în fiinţa omului”</w:t>
      </w:r>
      <w:r w:rsidRPr="003E023F">
        <w:rPr>
          <w:rStyle w:val="FootnoteReference"/>
          <w:szCs w:val="24"/>
        </w:rPr>
        <w:footnoteReference w:id="51"/>
      </w:r>
      <w:r w:rsidRPr="003E023F">
        <w:rPr>
          <w:szCs w:val="24"/>
        </w:rPr>
        <w:t>. Este citat teologul Peter Stuhmacher care suţine că: “Justitia Dei înseamnă pentru Luther actul creator  eficient al graţiei lui Dumnezeu care justifică, şi nu o însuşire a lui Dumnezeu”</w:t>
      </w:r>
      <w:r w:rsidRPr="003E023F">
        <w:rPr>
          <w:rStyle w:val="FootnoteReference"/>
          <w:szCs w:val="24"/>
        </w:rPr>
        <w:footnoteReference w:id="52"/>
      </w:r>
      <w:r w:rsidRPr="003E023F">
        <w:rPr>
          <w:szCs w:val="24"/>
        </w:rPr>
        <w:t>. Viaţa nouă, despre care vorbeşte Luther, este, după teologul citat, rezultatul sintezei între cele două concepţii despre dreptatea lui Dumnezeu relativă la om: „dreptatea ca un atribut al lui Dumnzeu, care se manifestă faţă de om conform comportării omului, şi dreptatea care iartă pe om şi produce în el o viaţă nouă prin mila Lui sau prin graţie”</w:t>
      </w:r>
      <w:r w:rsidRPr="003E023F">
        <w:rPr>
          <w:rStyle w:val="FootnoteReference"/>
          <w:szCs w:val="24"/>
        </w:rPr>
        <w:footnoteReference w:id="53"/>
      </w:r>
      <w:r w:rsidRPr="003E023F">
        <w:rPr>
          <w:szCs w:val="24"/>
        </w:rPr>
        <w:t>. Chiar dacă teologii luterani nu ajung întotdeauna la concluzia, la care a ajuns uneori Luther, că dreptatea lui Dumnezeu îl poate face pe om după chipul Lui, dându-i posibilitatea colaborării cu El pentru a înainta în asemănarea cu El, spunând că numai Dumnezeu este activ în noua viaţă a omului, “Luther ţine cu putere să considere justificarea ca un act creator şi prin aceasta e înlăturată orice posibilitate de a concepe credinţa, şi prin aceasta justificarea, şi ca o operă a omului”</w:t>
      </w:r>
      <w:r w:rsidRPr="003E023F">
        <w:rPr>
          <w:rStyle w:val="FootnoteReference"/>
          <w:szCs w:val="24"/>
        </w:rPr>
        <w:footnoteReference w:id="54"/>
      </w:r>
      <w:r w:rsidRPr="003E023F">
        <w:rPr>
          <w:szCs w:val="24"/>
        </w:rPr>
        <w:t>, de aceea “este o bucurie pentru noi să constatăm în această afirmaţie că, chiar credinţa este considerată implicit ca o putere produsă în om de Dumnezeu, şi nu ca ceva care nu aduce nici o schimbare în viaţa omului“</w:t>
      </w:r>
      <w:r w:rsidRPr="003E023F">
        <w:rPr>
          <w:rStyle w:val="FootnoteReference"/>
          <w:szCs w:val="24"/>
        </w:rPr>
        <w:footnoteReference w:id="55"/>
      </w:r>
      <w:r w:rsidRPr="003E023F">
        <w:rPr>
          <w:szCs w:val="24"/>
        </w:rPr>
        <w:t xml:space="preserve">. Iar dacă omul devine subiect al acestei noi puteri, însemnă că participă, colaborează. Karl Barth însuşi recunoaşte acest fapt, întrucât nu afirmă că omul nu are nici o responsabilitate în opera mântuirii sale: “În explicarea justificării «numai prin credinţă», noi am admis că trebuie spus clar şi aceasta: că noi în credinţă avem de-a face şi cu o </w:t>
      </w:r>
      <w:r w:rsidRPr="003E023F">
        <w:rPr>
          <w:i/>
          <w:szCs w:val="24"/>
        </w:rPr>
        <w:t>imitaţie a lui Hristos.</w:t>
      </w:r>
      <w:r w:rsidRPr="003E023F">
        <w:rPr>
          <w:szCs w:val="24"/>
        </w:rPr>
        <w:t xml:space="preserve"> Că credinţa ca atitudine umană, cum rezultă din întrebuinţarea dublă a cuvântului </w:t>
      </w:r>
      <w:r w:rsidRPr="003E023F">
        <w:rPr>
          <w:i/>
          <w:szCs w:val="24"/>
        </w:rPr>
        <w:t xml:space="preserve">pistis, </w:t>
      </w:r>
      <w:r w:rsidRPr="003E023F">
        <w:rPr>
          <w:szCs w:val="24"/>
        </w:rPr>
        <w:t xml:space="preserve">este o imitaţie a lui Dumnezeu, o analogie cu lucrarea şi cu comportarea lui Dumnezeu, noi am menţionat adesea. Ea este o </w:t>
      </w:r>
      <w:r w:rsidRPr="003E023F">
        <w:rPr>
          <w:i/>
          <w:szCs w:val="24"/>
        </w:rPr>
        <w:t>încredere</w:t>
      </w:r>
      <w:r w:rsidRPr="003E023F">
        <w:rPr>
          <w:szCs w:val="24"/>
        </w:rPr>
        <w:t xml:space="preserve"> a omului, care dă răspunsul corespunzător şi potrivit fidelităţii lui Dumnezeu care se revelează ca eficientă în judecata Lui. Dar ea este în special şi în concret şi o imitaţie a lui Hristos, o asemănare cu activitatea şi cu comportarea lui Hristos”</w:t>
      </w:r>
      <w:r w:rsidRPr="003E023F">
        <w:rPr>
          <w:rStyle w:val="FootnoteReference"/>
          <w:szCs w:val="24"/>
        </w:rPr>
        <w:footnoteReference w:id="56"/>
      </w:r>
      <w:r w:rsidRPr="003E023F">
        <w:rPr>
          <w:szCs w:val="24"/>
        </w:rPr>
        <w:t xml:space="preserve">. </w:t>
      </w:r>
    </w:p>
    <w:p w:rsidR="00572744" w:rsidRPr="003E023F" w:rsidRDefault="00572744" w:rsidP="00572744">
      <w:pPr>
        <w:tabs>
          <w:tab w:val="left" w:pos="851"/>
          <w:tab w:val="left" w:pos="1134"/>
        </w:tabs>
        <w:ind w:left="-1350" w:right="-990" w:firstLine="851"/>
        <w:jc w:val="both"/>
        <w:rPr>
          <w:szCs w:val="24"/>
        </w:rPr>
      </w:pPr>
      <w:r w:rsidRPr="003E023F">
        <w:rPr>
          <w:szCs w:val="24"/>
        </w:rPr>
        <w:t>Părintele Stăniloae citează apoi din opera ascetului</w:t>
      </w:r>
      <w:r w:rsidRPr="003E023F">
        <w:rPr>
          <w:i/>
          <w:szCs w:val="24"/>
        </w:rPr>
        <w:t xml:space="preserve"> </w:t>
      </w:r>
      <w:r w:rsidRPr="003E023F">
        <w:rPr>
          <w:szCs w:val="24"/>
        </w:rPr>
        <w:t xml:space="preserve">din Gaza secolului al VI-lea,Varsanufie, şi spune, în mod surprinzător, că: “în acest pasaj, sensul imitării coincide în chip uimitor cu ceea ce zice Barth” chiar dacă </w:t>
      </w:r>
      <w:r w:rsidRPr="003E023F">
        <w:rPr>
          <w:szCs w:val="24"/>
        </w:rPr>
        <w:lastRenderedPageBreak/>
        <w:t>Varsanufie este mai explicit şi mai concret. Şi prezentarea paralelă continuă cu Moltmann şi Varsanufie. Dacă Moltmann declară că după Luther “drumul spre Dumnezeu este umilinţa”</w:t>
      </w:r>
      <w:r w:rsidRPr="003E023F">
        <w:rPr>
          <w:rStyle w:val="FootnoteReference"/>
          <w:szCs w:val="24"/>
        </w:rPr>
        <w:footnoteReference w:id="57"/>
      </w:r>
      <w:r w:rsidRPr="003E023F">
        <w:rPr>
          <w:szCs w:val="24"/>
        </w:rPr>
        <w:t>,Varsanufie zice: “Dumnezeu a ales întotdeauna pe cei smeriţi (</w:t>
      </w:r>
      <w:r w:rsidRPr="003E023F">
        <w:rPr>
          <w:i/>
          <w:szCs w:val="24"/>
        </w:rPr>
        <w:t>1Cor</w:t>
      </w:r>
      <w:r w:rsidRPr="003E023F">
        <w:rPr>
          <w:szCs w:val="24"/>
        </w:rPr>
        <w:t>.1,27). Să ai smerenie şi Dumnezeu îţi va veni în ajutor”</w:t>
      </w:r>
      <w:r w:rsidRPr="003E023F">
        <w:rPr>
          <w:rStyle w:val="FootnoteReference"/>
          <w:szCs w:val="24"/>
        </w:rPr>
        <w:footnoteReference w:id="58"/>
      </w:r>
      <w:r w:rsidRPr="003E023F">
        <w:rPr>
          <w:szCs w:val="24"/>
        </w:rPr>
        <w:t>, “deci se poate spune că Părinţii răsăriteni, ca şi Luther, au înţeles că smerenia nu înseamnă că noi nu avem nici un rol în mântuirea noastră, ci ea este conştiinţa că dacă putem face vreun bine, aceasta ne vine din puterea pe care ne-o dă Dumnezeu”</w:t>
      </w:r>
      <w:r w:rsidRPr="003E023F">
        <w:rPr>
          <w:rStyle w:val="FootnoteReference"/>
          <w:szCs w:val="24"/>
        </w:rPr>
        <w:footnoteReference w:id="59"/>
      </w:r>
      <w:r w:rsidRPr="003E023F">
        <w:rPr>
          <w:szCs w:val="24"/>
        </w:rPr>
        <w:t>. Mai mult, un alt teolog luteran, E.Jungel, consideră necesare pentru menţinerea legăturii cu Hristos prin justificare, nu numai iubirea, ci şi faptele bune. După fapte va fi omul justificat, acestea nemaifiind în Hristos fapte ale Legii, deci ale fricii, ci ale libertăţii şi ale bucuriei, deci au un caracter cu mult mai interior</w:t>
      </w:r>
      <w:r w:rsidRPr="003E023F">
        <w:rPr>
          <w:rStyle w:val="FootnoteReference"/>
          <w:szCs w:val="24"/>
        </w:rPr>
        <w:footnoteReference w:id="60"/>
      </w:r>
      <w:r w:rsidRPr="003E023F">
        <w:rPr>
          <w:szCs w:val="24"/>
        </w:rPr>
        <w:t>. Se revine apoi la Jurgen Moltmann, care vorbeşte de un adevărat dialog între Dumnezeu şi om, omul fiind înălţat de Dumnezeu la demnitatea unui partener în acest dialog. „Cuvântului lui Dumnezeu îi corespunde răspunsul omului, făgăduinţei, speranţa, Evangheliei, credinţa şi graţiei divine, mulţumirea omului”;  “Prin Scriptură vorbeşte nu numai Dumnezeu oamenilor, ci vorbesc şi oamenii lui Dumnezeu”</w:t>
      </w:r>
      <w:r w:rsidRPr="003E023F">
        <w:rPr>
          <w:rStyle w:val="FootnoteReference"/>
          <w:szCs w:val="24"/>
        </w:rPr>
        <w:footnoteReference w:id="61"/>
      </w:r>
      <w:r w:rsidRPr="003E023F">
        <w:rPr>
          <w:szCs w:val="24"/>
        </w:rPr>
        <w:t xml:space="preserve">.   </w:t>
      </w:r>
    </w:p>
    <w:p w:rsidR="00572744" w:rsidRPr="003E023F" w:rsidRDefault="00572744" w:rsidP="00572744">
      <w:pPr>
        <w:tabs>
          <w:tab w:val="left" w:pos="851"/>
          <w:tab w:val="left" w:pos="1134"/>
        </w:tabs>
        <w:ind w:left="-1350" w:right="-990" w:firstLine="851"/>
        <w:jc w:val="both"/>
        <w:rPr>
          <w:szCs w:val="24"/>
        </w:rPr>
      </w:pPr>
      <w:r w:rsidRPr="003E023F">
        <w:rPr>
          <w:szCs w:val="24"/>
        </w:rPr>
        <w:t>Dar “îmbinarea dintre darul lui Dumnezeu şi folosirea lui activă de către noi este exprimată şi în toate rugăciunile şi cântările cultului divin luteran“</w:t>
      </w:r>
      <w:r w:rsidRPr="003E023F">
        <w:rPr>
          <w:rStyle w:val="FootnoteReference"/>
          <w:szCs w:val="24"/>
        </w:rPr>
        <w:footnoteReference w:id="62"/>
      </w:r>
      <w:r w:rsidRPr="003E023F">
        <w:rPr>
          <w:szCs w:val="24"/>
        </w:rPr>
        <w:t>, exemplificându-se prin câteva citate din care s-ar putea desprinde următoarele:</w:t>
      </w:r>
    </w:p>
    <w:p w:rsidR="00572744" w:rsidRPr="00A8791E" w:rsidRDefault="00572744" w:rsidP="00572744">
      <w:pPr>
        <w:tabs>
          <w:tab w:val="left" w:pos="851"/>
          <w:tab w:val="left" w:pos="1134"/>
        </w:tabs>
        <w:ind w:left="-1350" w:right="-990" w:firstLine="851"/>
        <w:jc w:val="both"/>
        <w:rPr>
          <w:sz w:val="20"/>
        </w:rPr>
      </w:pPr>
      <w:r w:rsidRPr="00A8791E">
        <w:rPr>
          <w:sz w:val="20"/>
        </w:rPr>
        <w:t xml:space="preserve">-posibilitatea şi necesitatea pocăinţei                       </w:t>
      </w:r>
    </w:p>
    <w:p w:rsidR="00572744" w:rsidRPr="00A8791E" w:rsidRDefault="00572744" w:rsidP="00572744">
      <w:pPr>
        <w:tabs>
          <w:tab w:val="left" w:pos="851"/>
          <w:tab w:val="left" w:pos="1134"/>
        </w:tabs>
        <w:ind w:left="-1350" w:right="-990" w:firstLine="851"/>
        <w:jc w:val="both"/>
        <w:rPr>
          <w:sz w:val="20"/>
        </w:rPr>
      </w:pPr>
      <w:r w:rsidRPr="00A8791E">
        <w:rPr>
          <w:sz w:val="20"/>
        </w:rPr>
        <w:t>-chiar dacă e activat cu ajutorul lui Dumnezeu, acest ajutor nu anulează lucrarea omului</w:t>
      </w:r>
    </w:p>
    <w:p w:rsidR="00572744" w:rsidRPr="00A8791E" w:rsidRDefault="00572744" w:rsidP="00572744">
      <w:pPr>
        <w:tabs>
          <w:tab w:val="left" w:pos="851"/>
          <w:tab w:val="left" w:pos="1134"/>
        </w:tabs>
        <w:ind w:left="-1350" w:right="-990" w:firstLine="851"/>
        <w:jc w:val="both"/>
        <w:rPr>
          <w:sz w:val="20"/>
        </w:rPr>
      </w:pPr>
      <w:r w:rsidRPr="00A8791E">
        <w:rPr>
          <w:sz w:val="20"/>
        </w:rPr>
        <w:t xml:space="preserve">-omul justificat nu rămâne încărcat de păcate, Dumnezeu neputând să i le ierte, cum se spune în “Dogmaticile noastre de şcoală”, dimpotrivă el cere să i se ierte toate păcatele săvârşite, pe care ar fi putut să nu le săvârşească </w:t>
      </w:r>
    </w:p>
    <w:p w:rsidR="00572744" w:rsidRPr="00A8791E" w:rsidRDefault="00572744" w:rsidP="00572744">
      <w:pPr>
        <w:tabs>
          <w:tab w:val="left" w:pos="851"/>
          <w:tab w:val="left" w:pos="1134"/>
        </w:tabs>
        <w:ind w:left="-1350" w:right="-990" w:firstLine="851"/>
        <w:jc w:val="both"/>
        <w:rPr>
          <w:sz w:val="20"/>
        </w:rPr>
      </w:pPr>
      <w:r w:rsidRPr="00A8791E">
        <w:rPr>
          <w:sz w:val="20"/>
        </w:rPr>
        <w:t>-necesitatea manifestării credinţei prin fapte bune, “un om se cunoaşte din fapte” („</w:t>
      </w:r>
      <w:r w:rsidRPr="00A8791E">
        <w:rPr>
          <w:i/>
          <w:sz w:val="20"/>
        </w:rPr>
        <w:t>an Werken wird erkannt ein Mann”</w:t>
      </w:r>
      <w:r w:rsidRPr="00A8791E">
        <w:rPr>
          <w:sz w:val="20"/>
        </w:rPr>
        <w:t>)</w:t>
      </w:r>
    </w:p>
    <w:p w:rsidR="00572744" w:rsidRPr="00A8791E" w:rsidRDefault="00572744" w:rsidP="00572744">
      <w:pPr>
        <w:tabs>
          <w:tab w:val="left" w:pos="851"/>
          <w:tab w:val="left" w:pos="1134"/>
        </w:tabs>
        <w:ind w:left="-1350" w:right="-990" w:firstLine="851"/>
        <w:jc w:val="both"/>
        <w:rPr>
          <w:sz w:val="20"/>
        </w:rPr>
      </w:pPr>
      <w:r w:rsidRPr="00A8791E">
        <w:rPr>
          <w:sz w:val="20"/>
        </w:rPr>
        <w:t>-folosirea expresiei “acoperă păcatele noastre” nu poate însemna că ar putea rămâne neatinse,  dimpotrivă, se exprimă credinţa că Hristos le ia şi le poartă El Însuşi</w:t>
      </w:r>
    </w:p>
    <w:p w:rsidR="00572744" w:rsidRPr="00A8791E" w:rsidRDefault="00572744" w:rsidP="00572744">
      <w:pPr>
        <w:tabs>
          <w:tab w:val="left" w:pos="851"/>
          <w:tab w:val="left" w:pos="1134"/>
        </w:tabs>
        <w:ind w:left="-1350" w:right="-990" w:firstLine="851"/>
        <w:jc w:val="both"/>
        <w:rPr>
          <w:sz w:val="20"/>
        </w:rPr>
      </w:pPr>
      <w:r w:rsidRPr="00A8791E">
        <w:rPr>
          <w:sz w:val="20"/>
        </w:rPr>
        <w:t>-viaţa nouă dobândită de omul justificat, manifestată prin fapte bune, nu poate fi înţeleasă, având ca subiect numai pe Dumnezeu, omul rămânând doar un simplu spectator, deoarece aceasta ar însemna să se admită „un dualism ireconciliabil în interiorul omului şi în raporturile lui cu alţii”</w:t>
      </w:r>
      <w:r w:rsidRPr="00A8791E">
        <w:rPr>
          <w:rStyle w:val="FootnoteReference"/>
          <w:sz w:val="20"/>
        </w:rPr>
        <w:footnoteReference w:id="63"/>
      </w:r>
      <w:r w:rsidRPr="00A8791E">
        <w:rPr>
          <w:sz w:val="20"/>
        </w:rPr>
        <w:t>, şi prin urmare, credinciosul nu I-ar mai cere lui Dumnezeu să-l scape de deznădejde, să-l umple de bucurie, de iubire faţă de alţii, să-l vindece de ceea ce e necuvenit în pornirile lui şi să-i  întărească puterile</w:t>
      </w:r>
      <w:r w:rsidRPr="00A8791E">
        <w:rPr>
          <w:rStyle w:val="FootnoteReference"/>
          <w:sz w:val="20"/>
        </w:rPr>
        <w:footnoteReference w:id="64"/>
      </w:r>
      <w:r w:rsidRPr="00A8791E">
        <w:rPr>
          <w:sz w:val="20"/>
        </w:rPr>
        <w:t>.</w:t>
      </w:r>
    </w:p>
    <w:p w:rsidR="00572744" w:rsidRPr="003E023F" w:rsidRDefault="00572744" w:rsidP="00572744">
      <w:pPr>
        <w:tabs>
          <w:tab w:val="left" w:pos="851"/>
          <w:tab w:val="left" w:pos="1134"/>
        </w:tabs>
        <w:ind w:left="-1350" w:right="-990" w:firstLine="851"/>
        <w:jc w:val="both"/>
        <w:rPr>
          <w:szCs w:val="24"/>
        </w:rPr>
      </w:pPr>
      <w:r w:rsidRPr="003E023F">
        <w:rPr>
          <w:szCs w:val="24"/>
        </w:rPr>
        <w:t>Cu toate acestea, este criticată tendinţa de a acorda o importanţă uneori exclusivă cuvântului, care provine dintr-un fel de dispreţ al trupului, considerându-se cuvântul ca o manifestare directă şi exclusivă a spiritului. Se pierde astfel şi legătura indisolubilă dintre cuvânt şi Taină, aşa cum o reliefează Sfântul Evanghelist Luca:</w:t>
      </w:r>
      <w:r w:rsidRPr="003E023F">
        <w:rPr>
          <w:i/>
          <w:szCs w:val="24"/>
        </w:rPr>
        <w:t xml:space="preserve"> “</w:t>
      </w:r>
      <w:r w:rsidRPr="003E023F">
        <w:rPr>
          <w:szCs w:val="24"/>
        </w:rPr>
        <w:t>(</w:t>
      </w:r>
      <w:r w:rsidRPr="003E023F">
        <w:rPr>
          <w:i/>
          <w:szCs w:val="24"/>
        </w:rPr>
        <w:t>…</w:t>
      </w:r>
      <w:r w:rsidRPr="003E023F">
        <w:rPr>
          <w:szCs w:val="24"/>
        </w:rPr>
        <w:t>)</w:t>
      </w:r>
      <w:r w:rsidRPr="003E023F">
        <w:rPr>
          <w:i/>
          <w:szCs w:val="24"/>
        </w:rPr>
        <w:t xml:space="preserve"> ei, auzind acestea, au fost pătrunşi la inimă şi au zis către Petru şi ceilalţi apostoli :Bărbaţi fraţi, ce să facem? Iar Petru le-a zis :Pocăiţi-vă, şi să se boteze fiecare dintre voi în numele lui Iisus Hristos, spre iertarea păcatelor voastre, şi veţi primi darul Sfântului Duh</w:t>
      </w:r>
      <w:r w:rsidRPr="003E023F">
        <w:rPr>
          <w:szCs w:val="24"/>
        </w:rPr>
        <w:t xml:space="preserve"> (</w:t>
      </w:r>
      <w:r w:rsidRPr="003E023F">
        <w:rPr>
          <w:i/>
          <w:szCs w:val="24"/>
        </w:rPr>
        <w:t>F.Ap</w:t>
      </w:r>
      <w:r w:rsidRPr="003E023F">
        <w:rPr>
          <w:szCs w:val="24"/>
        </w:rPr>
        <w:t>.2,37,38). În acest sens, Alexander Schmemann remarca: “Prin Taină, noi devenim părtaşi Aceluia Care vine şi rămâne cu noi în Cuvânt: destinaţia Bisericii constă în a binevesti pe Acela. Cuvântul consideră Taina ca fiind împlinirea sa, căci în Taină Hristos Cuvântul devine viaţa noastră.Cuvântul adună Biserica pentru a se întrupa în ea. Prin ruperea Cuvântului de Taină, Taina este ameninţată să fie înţeleasă ca magie, iar Cuvântul fără Taină este ameninţat să fie redus la doctrină”</w:t>
      </w:r>
      <w:r w:rsidRPr="003E023F">
        <w:rPr>
          <w:rStyle w:val="FootnoteReference"/>
          <w:szCs w:val="24"/>
        </w:rPr>
        <w:footnoteReference w:id="65"/>
      </w:r>
      <w:r w:rsidRPr="003E023F">
        <w:rPr>
          <w:szCs w:val="24"/>
        </w:rPr>
        <w:t xml:space="preserve">. De </w:t>
      </w:r>
      <w:r w:rsidRPr="003E023F">
        <w:rPr>
          <w:szCs w:val="24"/>
        </w:rPr>
        <w:lastRenderedPageBreak/>
        <w:t>fapt “fiecare sacrament este un mijloc corporal prin care Hristos ne transmite, printr-un gest, o putere provenită din trupul Său înviat”</w:t>
      </w:r>
      <w:r w:rsidRPr="003E023F">
        <w:rPr>
          <w:rStyle w:val="FootnoteReference"/>
          <w:szCs w:val="24"/>
        </w:rPr>
        <w:footnoteReference w:id="66"/>
      </w:r>
      <w:r w:rsidRPr="003E023F">
        <w:rPr>
          <w:szCs w:val="24"/>
        </w:rPr>
        <w:t>.</w:t>
      </w:r>
    </w:p>
    <w:p w:rsidR="00572744" w:rsidRPr="003E023F" w:rsidRDefault="00572744" w:rsidP="00572744">
      <w:pPr>
        <w:tabs>
          <w:tab w:val="left" w:pos="851"/>
          <w:tab w:val="left" w:pos="1134"/>
        </w:tabs>
        <w:ind w:left="-1350" w:right="-990" w:firstLine="851"/>
        <w:jc w:val="both"/>
        <w:rPr>
          <w:szCs w:val="24"/>
        </w:rPr>
      </w:pPr>
      <w:r w:rsidRPr="003E023F">
        <w:rPr>
          <w:szCs w:val="24"/>
        </w:rPr>
        <w:t>Părintele Stăniloae nu a ignorat nici tendinţa de apropiere de învăţătura ortodoxă manifestată de unii telogi romano-catolici. Într-o conferinţă</w:t>
      </w:r>
      <w:r w:rsidRPr="003E023F">
        <w:rPr>
          <w:rStyle w:val="FootnoteReference"/>
          <w:szCs w:val="24"/>
        </w:rPr>
        <w:footnoteReference w:id="67"/>
      </w:r>
      <w:r w:rsidRPr="003E023F">
        <w:rPr>
          <w:szCs w:val="24"/>
        </w:rPr>
        <w:t xml:space="preserve"> remarca cu satisfacţie pasul pozitiv din referatul teologului J.M.Garrigues prin care se ajunsese la a se considera acceptabilă pentru Biserica Romano-Catolică, formula lui Bolotov: „Duhul Sfânt purcede de la unicul Tată, întrucât El naşte pe unicul Fiu”</w:t>
      </w:r>
      <w:r w:rsidRPr="003E023F">
        <w:rPr>
          <w:rStyle w:val="FootnoteReference"/>
          <w:szCs w:val="24"/>
        </w:rPr>
        <w:footnoteReference w:id="68"/>
      </w:r>
      <w:r w:rsidRPr="003E023F">
        <w:rPr>
          <w:szCs w:val="24"/>
        </w:rPr>
        <w:t xml:space="preserve">. Garrigues  modifică formularea : “Duhul care </w:t>
      </w:r>
      <w:r w:rsidRPr="003E023F">
        <w:rPr>
          <w:i/>
          <w:szCs w:val="24"/>
        </w:rPr>
        <w:t>din</w:t>
      </w:r>
      <w:r w:rsidRPr="003E023F">
        <w:rPr>
          <w:szCs w:val="24"/>
        </w:rPr>
        <w:t xml:space="preserve"> Tatăl şi </w:t>
      </w:r>
      <w:r w:rsidRPr="003E023F">
        <w:rPr>
          <w:i/>
          <w:szCs w:val="24"/>
        </w:rPr>
        <w:t>din</w:t>
      </w:r>
      <w:r w:rsidRPr="003E023F">
        <w:rPr>
          <w:szCs w:val="24"/>
        </w:rPr>
        <w:t xml:space="preserve"> Fiul purcede”  (</w:t>
      </w:r>
      <w:r w:rsidRPr="003E023F">
        <w:rPr>
          <w:i/>
          <w:szCs w:val="24"/>
        </w:rPr>
        <w:t>qui ex Patre Filioque procedit</w:t>
      </w:r>
      <w:r w:rsidRPr="003E023F">
        <w:rPr>
          <w:szCs w:val="24"/>
        </w:rPr>
        <w:t>),</w:t>
      </w:r>
      <w:r w:rsidRPr="003E023F">
        <w:rPr>
          <w:i/>
          <w:szCs w:val="24"/>
        </w:rPr>
        <w:t xml:space="preserve"> </w:t>
      </w:r>
      <w:r w:rsidRPr="003E023F">
        <w:rPr>
          <w:szCs w:val="24"/>
        </w:rPr>
        <w:t xml:space="preserve"> propunând formularea: “Duhul care purcede </w:t>
      </w:r>
      <w:r w:rsidRPr="003E023F">
        <w:rPr>
          <w:i/>
          <w:szCs w:val="24"/>
        </w:rPr>
        <w:t>din</w:t>
      </w:r>
      <w:r w:rsidRPr="003E023F">
        <w:rPr>
          <w:szCs w:val="24"/>
        </w:rPr>
        <w:t xml:space="preserve"> Tatăl şi </w:t>
      </w:r>
      <w:r w:rsidRPr="003E023F">
        <w:rPr>
          <w:i/>
          <w:szCs w:val="24"/>
        </w:rPr>
        <w:t>de la</w:t>
      </w:r>
      <w:r w:rsidRPr="003E023F">
        <w:rPr>
          <w:szCs w:val="24"/>
        </w:rPr>
        <w:t xml:space="preserve"> Fiul” (</w:t>
      </w:r>
      <w:r w:rsidRPr="003E023F">
        <w:rPr>
          <w:i/>
          <w:szCs w:val="24"/>
        </w:rPr>
        <w:t>qui ex Patre et a Filio procedit</w:t>
      </w:r>
      <w:r w:rsidRPr="003E023F">
        <w:rPr>
          <w:szCs w:val="24"/>
        </w:rPr>
        <w:t>). Se afirmă astfel o distincţie între Tatăl şi Fiul în actul purcederii Sfântului Duh, în timp ce învăţătura despre “</w:t>
      </w:r>
      <w:r w:rsidRPr="003E023F">
        <w:rPr>
          <w:i/>
          <w:szCs w:val="24"/>
        </w:rPr>
        <w:t>Filioque</w:t>
      </w:r>
      <w:r w:rsidRPr="003E023F">
        <w:rPr>
          <w:szCs w:val="24"/>
        </w:rPr>
        <w:t xml:space="preserve">” duce la confundarea Tatălui şi a Fiului în substanţa comună, după interpretarea provenită de la Anselm de Canterbury şi Toma d’Aquino, conform căreia Duhul purcede de la Tatăl şi de la Fiul ca dintr-un singur principiu </w:t>
      </w:r>
      <w:r w:rsidRPr="003E023F">
        <w:rPr>
          <w:i/>
          <w:szCs w:val="24"/>
        </w:rPr>
        <w:t xml:space="preserve"> </w:t>
      </w:r>
      <w:r w:rsidRPr="003E023F">
        <w:rPr>
          <w:szCs w:val="24"/>
        </w:rPr>
        <w:t>(</w:t>
      </w:r>
      <w:r w:rsidRPr="003E023F">
        <w:rPr>
          <w:i/>
          <w:szCs w:val="24"/>
        </w:rPr>
        <w:t>tamquam ex uno principio</w:t>
      </w:r>
      <w:r w:rsidRPr="003E023F">
        <w:rPr>
          <w:szCs w:val="24"/>
        </w:rPr>
        <w:t xml:space="preserve">). Totodată, foloseşte pentru relaţia Fiului numai cu Tatăl cuvântul </w:t>
      </w:r>
      <w:r w:rsidRPr="003E023F">
        <w:rPr>
          <w:i/>
          <w:szCs w:val="24"/>
        </w:rPr>
        <w:t>originare</w:t>
      </w:r>
      <w:r w:rsidRPr="003E023F">
        <w:rPr>
          <w:szCs w:val="24"/>
        </w:rPr>
        <w:t xml:space="preserve">, iar pentru relaţia Duhului cu Tatăl prin Fiul, pe cel de </w:t>
      </w:r>
      <w:r w:rsidRPr="003E023F">
        <w:rPr>
          <w:i/>
          <w:szCs w:val="24"/>
        </w:rPr>
        <w:t>purcedere</w:t>
      </w:r>
      <w:r w:rsidRPr="003E023F">
        <w:rPr>
          <w:szCs w:val="24"/>
        </w:rPr>
        <w:t xml:space="preserve">, ca echivalenţi ai termenilor greceşti </w:t>
      </w:r>
      <w:r w:rsidRPr="003E023F">
        <w:rPr>
          <w:i/>
          <w:szCs w:val="24"/>
        </w:rPr>
        <w:t xml:space="preserve">ekporeuetai </w:t>
      </w:r>
      <w:r w:rsidRPr="003E023F">
        <w:rPr>
          <w:szCs w:val="24"/>
        </w:rPr>
        <w:t>şi</w:t>
      </w:r>
      <w:r w:rsidRPr="003E023F">
        <w:rPr>
          <w:i/>
          <w:szCs w:val="24"/>
        </w:rPr>
        <w:t xml:space="preserve"> proeisi,</w:t>
      </w:r>
      <w:r w:rsidRPr="003E023F">
        <w:rPr>
          <w:szCs w:val="24"/>
        </w:rPr>
        <w:t xml:space="preserve"> folosiţi de Părinţi: „Derivându-şi originea de la Unicul Tată care naşte pe Unicul Fiu, Duhul purcede de la Tatăl ca origine prin Fiul Său”  (</w:t>
      </w:r>
      <w:r w:rsidRPr="003E023F">
        <w:rPr>
          <w:i/>
          <w:szCs w:val="24"/>
        </w:rPr>
        <w:t>ek monou tou Patros, ton Monoghene ghennontos  ekporeuomenon, ek autou kai apo tou Yiou proeisi; ex unico Patre generante Unicum Filium, ortus ex Patre et a Filio procedit</w:t>
      </w:r>
      <w:r w:rsidRPr="003E023F">
        <w:rPr>
          <w:szCs w:val="24"/>
        </w:rPr>
        <w:t>). „Această formulare explicitează pasul pozitiv real pe care părintele Garrigues îl face spre întâlnirea cu învăţătura din Răsărit. Dar socotim că ar fi bine să nu se mai folosească pentru relaţia Duhului cu Fiul, cuvântul «purcede» care poate da naştere la ideea confundării acestei relaţii cu cea a purcederii Duhului din Tatăl, ci să se folosească pentru relaţia cu Tatăl cuvântul «purcedere», iar pentru relaţia cu Fiul, cuvântul «ieşire», însoţit de alţi termeni ca «strălucire», «arătare», cum au fost folosiţi de unii Părinţi din Răsărit”</w:t>
      </w:r>
      <w:r w:rsidRPr="003E023F">
        <w:rPr>
          <w:rStyle w:val="FootnoteReference"/>
          <w:szCs w:val="24"/>
        </w:rPr>
        <w:footnoteReference w:id="69"/>
      </w:r>
      <w:r w:rsidRPr="003E023F">
        <w:rPr>
          <w:szCs w:val="24"/>
        </w:rPr>
        <w:t>.</w:t>
      </w:r>
    </w:p>
    <w:p w:rsidR="00572744" w:rsidRPr="003E023F" w:rsidRDefault="00572744" w:rsidP="00572744">
      <w:pPr>
        <w:tabs>
          <w:tab w:val="left" w:pos="851"/>
          <w:tab w:val="left" w:pos="1134"/>
        </w:tabs>
        <w:ind w:left="-1350" w:right="-990" w:firstLine="851"/>
        <w:jc w:val="both"/>
        <w:rPr>
          <w:szCs w:val="24"/>
        </w:rPr>
      </w:pPr>
      <w:r w:rsidRPr="003E023F">
        <w:rPr>
          <w:szCs w:val="24"/>
        </w:rPr>
        <w:t xml:space="preserve">Aceeaşi încercare de valorizare o întâlnim şi în legătură cu învăţătura despre energiile dumnezeieşti necreate. Dacă Sfânta Grigorie Palama a fost una din cele mai neînţelese personalităţi răsăritene de către istoricii catolici, mai recent, arată părintele Stăniloae, “mai ales după afirmarea puternică a doctrinei energiilor necreate de către Vladimir Lossky, în </w:t>
      </w:r>
      <w:r w:rsidRPr="003E023F">
        <w:rPr>
          <w:i/>
          <w:szCs w:val="24"/>
        </w:rPr>
        <w:t>Essai sur la Theologie mystique de l’Eglise orientale</w:t>
      </w:r>
      <w:r w:rsidRPr="003E023F">
        <w:rPr>
          <w:szCs w:val="24"/>
        </w:rPr>
        <w:t xml:space="preserve"> </w:t>
      </w:r>
      <w:r w:rsidRPr="003E023F">
        <w:rPr>
          <w:rStyle w:val="FootnoteReference"/>
          <w:szCs w:val="24"/>
        </w:rPr>
        <w:footnoteReference w:id="70"/>
      </w:r>
      <w:r w:rsidRPr="003E023F">
        <w:rPr>
          <w:szCs w:val="24"/>
        </w:rPr>
        <w:t xml:space="preserve"> şi a studiului lui J.Meyendorff,  </w:t>
      </w:r>
      <w:r w:rsidRPr="003E023F">
        <w:rPr>
          <w:i/>
          <w:szCs w:val="24"/>
        </w:rPr>
        <w:t>A study of Gregory Palama</w:t>
      </w:r>
      <w:r w:rsidRPr="003E023F">
        <w:rPr>
          <w:rStyle w:val="FootnoteReference"/>
          <w:szCs w:val="24"/>
        </w:rPr>
        <w:footnoteReference w:id="71"/>
      </w:r>
      <w:r w:rsidRPr="003E023F">
        <w:rPr>
          <w:szCs w:val="24"/>
        </w:rPr>
        <w:t xml:space="preserve"> (</w:t>
      </w:r>
      <w:r w:rsidRPr="003E023F">
        <w:rPr>
          <w:i/>
          <w:szCs w:val="24"/>
        </w:rPr>
        <w:t>este cunoscută şi foarte valoroasa contribuţie a părintelui Stăniloae însuşi</w:t>
      </w:r>
      <w:r w:rsidRPr="003E023F">
        <w:rPr>
          <w:szCs w:val="24"/>
        </w:rPr>
        <w:t>), nu numai teologii ortodocşi au valorificat pe multe planuri doctrina energiilor necreate, ci chiar şi printre teologii catolici se observă o atitudine mai pozitivă faţă de această doctrină. Într-un editorial al revistei Istina</w:t>
      </w:r>
      <w:r w:rsidRPr="003E023F">
        <w:rPr>
          <w:rStyle w:val="FootnoteReference"/>
          <w:szCs w:val="24"/>
        </w:rPr>
        <w:footnoteReference w:id="72"/>
      </w:r>
      <w:r w:rsidRPr="003E023F">
        <w:rPr>
          <w:szCs w:val="24"/>
        </w:rPr>
        <w:t xml:space="preserve"> se afirmă:   “Pentru anumiţi teologi catolici palamismul oferă chiar azi principiul de bază al unei teologii nescolastice,atât de căutate”.O astfel de atitudine care găseşte simpatii printre teologii catolici cei mai cunoscuţi, a fost remarcabil sintetizată de părintele Halleaux în articolul “Palamisme et scolastique”</w:t>
      </w:r>
      <w:r w:rsidRPr="003E023F">
        <w:rPr>
          <w:rStyle w:val="FootnoteReference"/>
          <w:szCs w:val="24"/>
        </w:rPr>
        <w:footnoteReference w:id="73"/>
      </w:r>
      <w:r w:rsidRPr="003E023F">
        <w:rPr>
          <w:szCs w:val="24"/>
        </w:rPr>
        <w:t>, unde se acceptă ca punct de plecare indiscutabil şi de autoritate, teza lui Meyendorff sau “Teza după care doctrina patristică a îndumnezeirii creştinului implică distincţia palamită între esenţa şi energiile divine se impune din ce în ce mai mult ca o evidenţă ”</w:t>
      </w:r>
      <w:r w:rsidRPr="003E023F">
        <w:rPr>
          <w:rStyle w:val="FootnoteReference"/>
          <w:szCs w:val="24"/>
        </w:rPr>
        <w:footnoteReference w:id="74"/>
      </w:r>
      <w:r w:rsidRPr="003E023F">
        <w:rPr>
          <w:szCs w:val="24"/>
        </w:rPr>
        <w:t>.</w:t>
      </w:r>
    </w:p>
    <w:p w:rsidR="00572744" w:rsidRPr="003E023F" w:rsidRDefault="00572744" w:rsidP="00572744">
      <w:pPr>
        <w:tabs>
          <w:tab w:val="left" w:pos="851"/>
          <w:tab w:val="left" w:pos="1134"/>
        </w:tabs>
        <w:ind w:left="-1350" w:right="-990" w:firstLine="851"/>
        <w:jc w:val="both"/>
        <w:rPr>
          <w:szCs w:val="24"/>
        </w:rPr>
      </w:pPr>
      <w:r w:rsidRPr="003E023F">
        <w:rPr>
          <w:szCs w:val="24"/>
        </w:rPr>
        <w:lastRenderedPageBreak/>
        <w:t>Tot în legătură cu învăţătură romano-catolică, în studiul intitulat: „Apropierea doctrinară a Bisericilor prin deschiderea lor spre lume”</w:t>
      </w:r>
      <w:r w:rsidRPr="003E023F">
        <w:rPr>
          <w:i/>
          <w:szCs w:val="24"/>
        </w:rPr>
        <w:t xml:space="preserve">, </w:t>
      </w:r>
      <w:r w:rsidRPr="003E023F">
        <w:rPr>
          <w:szCs w:val="24"/>
        </w:rPr>
        <w:t xml:space="preserve">părintele Stăniloae sublinia: “Catolicismul a început să nu mai considere natura umană închisă în graniţele strâmte şi de nemişcat, ci ca o natură mobilă, capabilă de dezvoltare, de desăvârşire indefinită, de realizare a unor relaţii interumane tot mai înalte. În legătură cu aceasta a început să vadă şi natura cosmică, pe de o parte într-un proces de evoluţie, pe de alta înzestrată cu elasticitate şi posibilitate indefinită de modelare şi combinare. Drept urmare, ideea de Dumnezeu a încetat şi ea să mai fie o idee statică. Prin aceasta antropologia catolică se apropie de cea ortodoxă, iar ideea catolică despre Dumnezeu de cea palamită despre energiile divine” </w:t>
      </w:r>
      <w:r w:rsidRPr="003E023F">
        <w:rPr>
          <w:rStyle w:val="FootnoteReference"/>
          <w:szCs w:val="24"/>
        </w:rPr>
        <w:footnoteReference w:id="75"/>
      </w:r>
      <w:r w:rsidRPr="003E023F">
        <w:rPr>
          <w:szCs w:val="24"/>
        </w:rPr>
        <w:t>.</w:t>
      </w:r>
      <w:r>
        <w:rPr>
          <w:szCs w:val="24"/>
        </w:rPr>
        <w:t xml:space="preserve"> </w:t>
      </w:r>
      <w:r w:rsidRPr="003E023F">
        <w:rPr>
          <w:szCs w:val="24"/>
        </w:rPr>
        <w:t>De asemenea, părintele subliniază faptul că “un teolog catolic, Georg Koepgen, a pus cel mai bine în relief baza trinitară a spiritualităţii creştine, iar odată cu aceasta, şi faptul că această spiritualitate a fost păstrată cel mai bine în Biserica Răsăriteană, pentru că aceasta singură a păstrat în modul cel mai nealterat învăţătura biblică despre Sfânta Treime şi locul central al acesteia în evlavia creştină”</w:t>
      </w:r>
      <w:r w:rsidRPr="003E023F">
        <w:rPr>
          <w:rStyle w:val="FootnoteReference"/>
          <w:szCs w:val="24"/>
        </w:rPr>
        <w:footnoteReference w:id="76"/>
      </w:r>
      <w:r w:rsidRPr="003E023F">
        <w:rPr>
          <w:szCs w:val="24"/>
        </w:rPr>
        <w:t>.</w:t>
      </w:r>
      <w:r w:rsidRPr="003E023F">
        <w:rPr>
          <w:i/>
          <w:szCs w:val="24"/>
        </w:rPr>
        <w:tab/>
      </w:r>
    </w:p>
    <w:p w:rsidR="00572744" w:rsidRPr="003E023F" w:rsidRDefault="00572744" w:rsidP="00572744">
      <w:pPr>
        <w:tabs>
          <w:tab w:val="left" w:pos="851"/>
          <w:tab w:val="left" w:pos="1134"/>
          <w:tab w:val="left" w:pos="1560"/>
        </w:tabs>
        <w:ind w:left="-1350" w:right="-990" w:firstLine="851"/>
        <w:jc w:val="both"/>
        <w:rPr>
          <w:szCs w:val="24"/>
        </w:rPr>
      </w:pPr>
      <w:r w:rsidRPr="003E023F">
        <w:rPr>
          <w:szCs w:val="24"/>
        </w:rPr>
        <w:t>Conciliul II Vatican, eveniment istoric pentru Biserica Romano-Catolică şi cu implicaţii majore în viaţa creştină, l-a preocupat mult pe părintele Stăniloae, chiar dacă nu a putut participa, şi nici măcar semna studiile respective cu numele său, ci folosind pseudonimul Pr. Barbu Gr. Ionescu</w:t>
      </w:r>
      <w:r w:rsidRPr="003E023F">
        <w:rPr>
          <w:rStyle w:val="FootnoteReference"/>
          <w:szCs w:val="24"/>
        </w:rPr>
        <w:footnoteReference w:id="77"/>
      </w:r>
      <w:r w:rsidRPr="003E023F">
        <w:rPr>
          <w:szCs w:val="24"/>
        </w:rPr>
        <w:t>.</w:t>
      </w:r>
    </w:p>
    <w:p w:rsidR="00572744" w:rsidRPr="003E023F" w:rsidRDefault="00572744" w:rsidP="00572744">
      <w:pPr>
        <w:tabs>
          <w:tab w:val="left" w:pos="851"/>
          <w:tab w:val="left" w:pos="1134"/>
          <w:tab w:val="left" w:pos="1560"/>
        </w:tabs>
        <w:ind w:left="-1350" w:right="-990" w:firstLine="851"/>
        <w:jc w:val="both"/>
        <w:rPr>
          <w:szCs w:val="24"/>
        </w:rPr>
      </w:pPr>
      <w:r w:rsidRPr="003E023F">
        <w:rPr>
          <w:szCs w:val="24"/>
        </w:rPr>
        <w:t>Poate este superfluu să amintim satisfacţia cu care părintele a scris despre: „Posibilitatea reconcilierii dogmatice între Biserica Ortodoxă şi Vechile Biserici Orientale”</w:t>
      </w:r>
      <w:r w:rsidRPr="003E023F">
        <w:rPr>
          <w:rStyle w:val="FootnoteReference"/>
          <w:szCs w:val="24"/>
        </w:rPr>
        <w:footnoteReference w:id="78"/>
      </w:r>
      <w:r w:rsidRPr="003E023F">
        <w:rPr>
          <w:i/>
          <w:szCs w:val="24"/>
        </w:rPr>
        <w:t>.</w:t>
      </w:r>
      <w:r w:rsidRPr="003E023F">
        <w:rPr>
          <w:szCs w:val="24"/>
        </w:rPr>
        <w:t xml:space="preserve"> În studiul citat afirmă de la început: “despărţirea Vechilor Biserici Orientale de Biserica Universală, în secolul al V-lea, a avut cauza într-o neînţelegere terminologică referitoare la doctrina despre Persoana lui Iisus Hristos şi în tensiunile de ordin naţional, politic şi social dintre Imperiul Bizantin şi populaţiile de la răsăritul lui. Pe de o parte, acest eveniment dureros trebuie regretat pentru toate urmările nefericite pe care le-a avut pentru creştinismul răsăritean în ansamblul lui. Dar, pe de altă parte, trebuie să semnalăm cu mulţumire că despărţirea nu s-a adâncit mai departe, ci a rămas până azi o despărţire de suprafaţă, o neînţelegere pe chestiuni de termeni nu o despărţire în credinţă”</w:t>
      </w:r>
      <w:r w:rsidRPr="003E023F">
        <w:rPr>
          <w:rStyle w:val="FootnoteReference"/>
          <w:szCs w:val="24"/>
        </w:rPr>
        <w:footnoteReference w:id="79"/>
      </w:r>
      <w:r w:rsidRPr="003E023F">
        <w:rPr>
          <w:szCs w:val="24"/>
        </w:rPr>
        <w:t>. Biserica Ortodoxă Română, scrie în continuare  părintele Stăniloae, a recunoscut ortodoxia armenilor. Sinodul de la Bucureşti califica, la 15 mai 1891, acuzaţiile de monofizitism aduse armenilor de Eutimie Zigabenul în secolul al XII-lea ca invenţii izvorâte din ură</w:t>
      </w:r>
      <w:r w:rsidRPr="003E023F">
        <w:rPr>
          <w:rStyle w:val="FootnoteReference"/>
          <w:szCs w:val="24"/>
        </w:rPr>
        <w:footnoteReference w:id="80"/>
      </w:r>
      <w:r w:rsidRPr="003E023F">
        <w:rPr>
          <w:szCs w:val="24"/>
        </w:rPr>
        <w:t>. Sunt amintiţi şi teologii români: Dimitrie Dan, Ioan Rămureanu, Nicolae Chiţescu şi Liviu Stan, care, din diverse perspective, au apărat ortodoxia Bisericilor Vechi Orientale, în pofida unor diferenţe, care ar fi, de fapt, aproape neglijabile</w:t>
      </w:r>
      <w:r w:rsidRPr="003E023F">
        <w:rPr>
          <w:rStyle w:val="FootnoteReference"/>
          <w:szCs w:val="24"/>
        </w:rPr>
        <w:footnoteReference w:id="81"/>
      </w:r>
      <w:r w:rsidRPr="003E023F">
        <w:rPr>
          <w:szCs w:val="24"/>
        </w:rPr>
        <w:t>. Mai mult, Biserica noastră a avut relaţii prieteneşti cu Biserica Armeană, mulţi armeni vieţuind de secole la noi.</w:t>
      </w:r>
    </w:p>
    <w:p w:rsidR="00572744" w:rsidRPr="003E023F" w:rsidRDefault="00572744" w:rsidP="00572744">
      <w:pPr>
        <w:tabs>
          <w:tab w:val="left" w:pos="851"/>
          <w:tab w:val="left" w:pos="1560"/>
        </w:tabs>
        <w:ind w:left="-1350" w:right="-990"/>
        <w:jc w:val="both"/>
        <w:rPr>
          <w:szCs w:val="24"/>
        </w:rPr>
      </w:pPr>
      <w:r w:rsidRPr="003E023F">
        <w:rPr>
          <w:szCs w:val="24"/>
        </w:rPr>
        <w:t xml:space="preserve">           Este evocată apoi consfătuirea de la Aarhus (Danemarca, august 1964) unde într-o formă “mai argumentată şi într-un consens mai larg” s-a manifestat convingerea că principala divergenţă dogmatică, cea hristologică, rezidă de fapt într-o chestiune de terminologie. John Mayendorff sublinia în referatul său: “Noi toţi credem că o unire [între ortodocşi şi pre-calcedonieni] este posibilă, întrucât suntem de acord că atât în trecutul îndepărtat, cât şi în cel apropiat deosebirea între noi a constat mai mult în terminologie decât în teologia însăşi”</w:t>
      </w:r>
      <w:r w:rsidRPr="003E023F">
        <w:rPr>
          <w:rStyle w:val="FootnoteReference"/>
          <w:szCs w:val="24"/>
        </w:rPr>
        <w:footnoteReference w:id="82"/>
      </w:r>
      <w:r w:rsidRPr="003E023F">
        <w:rPr>
          <w:szCs w:val="24"/>
        </w:rPr>
        <w:t xml:space="preserve">. Opinia a fost împărtăşită şi de I.Karmiris şi I.Romanides. Din păcate la aceeaşi consfătuire s-a exprimat din partea unor teologi pre-calcedonieni opinia că Biserica Ortodoxă ar fi nestoriană! </w:t>
      </w:r>
    </w:p>
    <w:p w:rsidR="00572744" w:rsidRPr="003E023F" w:rsidRDefault="00572744" w:rsidP="00572744">
      <w:pPr>
        <w:tabs>
          <w:tab w:val="left" w:pos="851"/>
          <w:tab w:val="left" w:pos="1560"/>
        </w:tabs>
        <w:ind w:left="-1350" w:right="-990"/>
        <w:jc w:val="both"/>
        <w:rPr>
          <w:szCs w:val="24"/>
        </w:rPr>
      </w:pPr>
      <w:r w:rsidRPr="003E023F">
        <w:rPr>
          <w:szCs w:val="24"/>
        </w:rPr>
        <w:t xml:space="preserve">           Speranţele exprimate de părintele Stăniloae cu privire la posibilitatea apropierii doctrinare, fapt ce ar face posibilă comuniunea euharistică (deoarece nu există probleme privind </w:t>
      </w:r>
      <w:r w:rsidRPr="003E023F">
        <w:rPr>
          <w:i/>
          <w:szCs w:val="24"/>
        </w:rPr>
        <w:t>koinonia</w:t>
      </w:r>
      <w:r w:rsidRPr="003E023F">
        <w:rPr>
          <w:szCs w:val="24"/>
        </w:rPr>
        <w:t xml:space="preserve"> între membrii celor două </w:t>
      </w:r>
      <w:r w:rsidRPr="003E023F">
        <w:rPr>
          <w:szCs w:val="24"/>
        </w:rPr>
        <w:lastRenderedPageBreak/>
        <w:t>Biserici), au fost îndreptăţite, deoarece dialogul a continuat fructuos. De exemplu Comisia mixtă de dialog teologic între Bisericile Ortodoxe şi cele Orientale (reunită la Mănăstirea Anba Bishoi, Egipt, iunie 1989 şi apoi la Centrul ortodox de la Chambesy, Elveţia, în septembrie 1990) a adoptat o declaraţie comună referitoare la hristologia ortodoxă</w:t>
      </w:r>
      <w:r w:rsidRPr="003E023F">
        <w:rPr>
          <w:rStyle w:val="FootnoteReference"/>
          <w:szCs w:val="24"/>
        </w:rPr>
        <w:footnoteReference w:id="83"/>
      </w:r>
      <w:r w:rsidRPr="003E023F">
        <w:rPr>
          <w:szCs w:val="24"/>
        </w:rPr>
        <w:t>. Astfel, ambele familii eclesiale mărturisesc:</w:t>
      </w:r>
    </w:p>
    <w:p w:rsidR="00572744" w:rsidRPr="00090EAD" w:rsidRDefault="00572744" w:rsidP="00572744">
      <w:pPr>
        <w:tabs>
          <w:tab w:val="left" w:pos="851"/>
          <w:tab w:val="left" w:pos="1560"/>
        </w:tabs>
        <w:ind w:left="-1350" w:right="-990"/>
        <w:jc w:val="both"/>
        <w:rPr>
          <w:i/>
          <w:sz w:val="20"/>
        </w:rPr>
      </w:pPr>
      <w:r w:rsidRPr="003E023F">
        <w:rPr>
          <w:szCs w:val="24"/>
        </w:rPr>
        <w:t xml:space="preserve">          -</w:t>
      </w:r>
      <w:r w:rsidRPr="00090EAD">
        <w:rPr>
          <w:sz w:val="20"/>
        </w:rPr>
        <w:t xml:space="preserve"> O </w:t>
      </w:r>
      <w:r w:rsidRPr="00090EAD">
        <w:rPr>
          <w:i/>
          <w:sz w:val="20"/>
        </w:rPr>
        <w:t>ousia</w:t>
      </w:r>
      <w:r w:rsidRPr="00090EAD">
        <w:rPr>
          <w:sz w:val="20"/>
        </w:rPr>
        <w:t xml:space="preserve"> în trei </w:t>
      </w:r>
      <w:r w:rsidRPr="00090EAD">
        <w:rPr>
          <w:i/>
          <w:sz w:val="20"/>
        </w:rPr>
        <w:t>hypostases</w:t>
      </w:r>
      <w:r w:rsidRPr="00090EAD">
        <w:rPr>
          <w:sz w:val="20"/>
        </w:rPr>
        <w:t xml:space="preserve"> sau trei </w:t>
      </w:r>
      <w:r w:rsidRPr="00090EAD">
        <w:rPr>
          <w:i/>
          <w:sz w:val="20"/>
        </w:rPr>
        <w:t>prosopon</w:t>
      </w:r>
    </w:p>
    <w:p w:rsidR="00572744" w:rsidRPr="00090EAD" w:rsidRDefault="00572744" w:rsidP="00572744">
      <w:pPr>
        <w:tabs>
          <w:tab w:val="left" w:pos="851"/>
          <w:tab w:val="left" w:pos="1560"/>
        </w:tabs>
        <w:ind w:left="-1350" w:right="-990"/>
        <w:jc w:val="both"/>
        <w:rPr>
          <w:i/>
          <w:sz w:val="20"/>
        </w:rPr>
      </w:pPr>
      <w:r w:rsidRPr="00090EAD">
        <w:rPr>
          <w:sz w:val="20"/>
        </w:rPr>
        <w:t xml:space="preserve">          - Logosul, consubstanţial cu Tatăl după dumnezeire, S-a întrupat de la Duhul Sfânt şi din Fecioara Maria- </w:t>
      </w:r>
      <w:r w:rsidRPr="00090EAD">
        <w:rPr>
          <w:i/>
          <w:sz w:val="20"/>
        </w:rPr>
        <w:t>Theotokos</w:t>
      </w:r>
      <w:r w:rsidRPr="00090EAD">
        <w:rPr>
          <w:sz w:val="20"/>
        </w:rPr>
        <w:t xml:space="preserve">, şi a devenit om, consubstanţial cu noi după umanitate, afară de păcat. Adevărat om şi adevărat Dumnezeu, perfect în divinitate şi perfect în omenitate. Deoarece Cel care S-a născut din Maria este în acelaşi timp deplin Dumnezeu şi deplin om, pe Maria o numim </w:t>
      </w:r>
      <w:r w:rsidRPr="00090EAD">
        <w:rPr>
          <w:i/>
          <w:sz w:val="20"/>
        </w:rPr>
        <w:t>Theotokos.</w:t>
      </w:r>
    </w:p>
    <w:p w:rsidR="00572744" w:rsidRPr="00090EAD" w:rsidRDefault="00572744" w:rsidP="00572744">
      <w:pPr>
        <w:tabs>
          <w:tab w:val="left" w:pos="851"/>
          <w:tab w:val="left" w:pos="1560"/>
        </w:tabs>
        <w:ind w:left="-1350" w:right="-990"/>
        <w:jc w:val="both"/>
        <w:rPr>
          <w:sz w:val="20"/>
        </w:rPr>
      </w:pPr>
      <w:r w:rsidRPr="00090EAD">
        <w:rPr>
          <w:sz w:val="20"/>
        </w:rPr>
        <w:t xml:space="preserve">         - O persoană compusă- </w:t>
      </w:r>
      <w:r w:rsidRPr="00090EAD">
        <w:rPr>
          <w:i/>
          <w:sz w:val="20"/>
        </w:rPr>
        <w:t>synthetos</w:t>
      </w:r>
      <w:r w:rsidRPr="00090EAD">
        <w:rPr>
          <w:sz w:val="20"/>
        </w:rPr>
        <w:t xml:space="preserve"> a lui Hristos, nu înseamnă că s-au unit o persoană umană şi una divină, ci că persoana- </w:t>
      </w:r>
      <w:r w:rsidRPr="00090EAD">
        <w:rPr>
          <w:i/>
          <w:sz w:val="20"/>
        </w:rPr>
        <w:t>hypostasis</w:t>
      </w:r>
      <w:r w:rsidRPr="00090EAD">
        <w:rPr>
          <w:sz w:val="20"/>
        </w:rPr>
        <w:t xml:space="preserve">, persoana a două a Treimii, a asumat firea umană creată, şi a unit-o cu firea divină necreată, ca să constituie o fiinţă divino-umană, naturile fiind deosebite una de alta, inseparabile şi fără confuzie, cunoscute astfel numai prin contemplaţie- </w:t>
      </w:r>
      <w:r w:rsidRPr="00090EAD">
        <w:rPr>
          <w:i/>
          <w:sz w:val="20"/>
        </w:rPr>
        <w:t>theoria</w:t>
      </w:r>
      <w:r w:rsidRPr="00090EAD">
        <w:rPr>
          <w:sz w:val="20"/>
        </w:rPr>
        <w:t xml:space="preserve"> : Persoană compusă înseamnă unitate compusă.</w:t>
      </w:r>
    </w:p>
    <w:p w:rsidR="00572744" w:rsidRPr="00090EAD" w:rsidRDefault="00572744" w:rsidP="00572744">
      <w:pPr>
        <w:tabs>
          <w:tab w:val="left" w:pos="851"/>
          <w:tab w:val="left" w:pos="1560"/>
        </w:tabs>
        <w:ind w:left="-1350" w:right="-990"/>
        <w:jc w:val="both"/>
        <w:rPr>
          <w:i/>
          <w:sz w:val="20"/>
        </w:rPr>
      </w:pPr>
      <w:r w:rsidRPr="00090EAD">
        <w:rPr>
          <w:sz w:val="20"/>
        </w:rPr>
        <w:t xml:space="preserve">         - Hypostasul Logosului existent înainte de întrupare nu e compus. Persoana- </w:t>
      </w:r>
      <w:r w:rsidRPr="00090EAD">
        <w:rPr>
          <w:i/>
          <w:sz w:val="20"/>
        </w:rPr>
        <w:t>prosopon</w:t>
      </w:r>
      <w:r w:rsidRPr="00090EAD">
        <w:rPr>
          <w:sz w:val="20"/>
        </w:rPr>
        <w:t xml:space="preserve"> unică teandrică este ipostasul etern care a asumat natura umană. </w:t>
      </w:r>
      <w:r w:rsidRPr="00090EAD">
        <w:rPr>
          <w:i/>
          <w:sz w:val="20"/>
        </w:rPr>
        <w:t>Physis</w:t>
      </w:r>
      <w:r w:rsidRPr="00090EAD">
        <w:rPr>
          <w:sz w:val="20"/>
        </w:rPr>
        <w:t xml:space="preserve"> şi </w:t>
      </w:r>
      <w:r w:rsidRPr="00090EAD">
        <w:rPr>
          <w:i/>
          <w:sz w:val="20"/>
        </w:rPr>
        <w:t xml:space="preserve">hypostasis </w:t>
      </w:r>
      <w:r w:rsidRPr="00090EAD">
        <w:rPr>
          <w:sz w:val="20"/>
        </w:rPr>
        <w:t xml:space="preserve">nu trebuie să fie confundate şi folosite una pentru cealaltă. </w:t>
      </w:r>
      <w:r w:rsidRPr="00090EAD">
        <w:rPr>
          <w:i/>
          <w:sz w:val="20"/>
        </w:rPr>
        <w:t xml:space="preserve">Hypostasis </w:t>
      </w:r>
      <w:r w:rsidRPr="00090EAD">
        <w:rPr>
          <w:sz w:val="20"/>
        </w:rPr>
        <w:t>înseamnă fie persoană fără natură, fie persoană cu natură, deoarece o ipostază fără natură nu există.</w:t>
      </w:r>
      <w:r w:rsidRPr="00090EAD">
        <w:rPr>
          <w:i/>
          <w:sz w:val="20"/>
        </w:rPr>
        <w:t xml:space="preserve"> </w:t>
      </w:r>
      <w:r w:rsidRPr="00090EAD">
        <w:rPr>
          <w:sz w:val="20"/>
        </w:rPr>
        <w:t xml:space="preserve"> </w:t>
      </w:r>
    </w:p>
    <w:p w:rsidR="00572744" w:rsidRPr="00090EAD" w:rsidRDefault="00572744" w:rsidP="00572744">
      <w:pPr>
        <w:tabs>
          <w:tab w:val="left" w:pos="851"/>
          <w:tab w:val="left" w:pos="1134"/>
          <w:tab w:val="left" w:pos="1560"/>
        </w:tabs>
        <w:ind w:left="-1350" w:right="-990"/>
        <w:jc w:val="both"/>
        <w:rPr>
          <w:sz w:val="20"/>
        </w:rPr>
      </w:pPr>
      <w:r w:rsidRPr="00090EAD">
        <w:rPr>
          <w:i/>
          <w:sz w:val="20"/>
        </w:rPr>
        <w:t xml:space="preserve">         </w:t>
      </w:r>
      <w:r w:rsidRPr="00090EAD">
        <w:rPr>
          <w:sz w:val="20"/>
        </w:rPr>
        <w:t>- A doua persoană fiind Dumnezeu, S-a făcut om. Misterul unirii ipostatice (personale) constă în unirea divinului, cu toate proprietăţile şi funcţiile divine necreate, cu natura umană creată cu toate proprietăţile şi funcţiile acesteia, inclusiv voinţa şi energia naturală. Logosul întrupat este deci subiectul voinţei şi acţiunii lui Iisus Hristos.</w:t>
      </w:r>
    </w:p>
    <w:p w:rsidR="00572744" w:rsidRPr="00090EAD" w:rsidRDefault="00572744" w:rsidP="00572744">
      <w:pPr>
        <w:tabs>
          <w:tab w:val="left" w:pos="851"/>
          <w:tab w:val="left" w:pos="1134"/>
          <w:tab w:val="left" w:pos="1560"/>
        </w:tabs>
        <w:ind w:left="-1350" w:right="-990"/>
        <w:jc w:val="both"/>
        <w:rPr>
          <w:i/>
          <w:sz w:val="20"/>
        </w:rPr>
      </w:pPr>
      <w:r w:rsidRPr="00090EAD">
        <w:rPr>
          <w:sz w:val="20"/>
        </w:rPr>
        <w:t xml:space="preserve">        - Nu separăm nici nu împărţim natura umană în Hristos de natura Sa divină (nestorienii), nici nu credem că natura umană a fost absorbită de cea divină şi a încetat să existe (eutihienii).</w:t>
      </w:r>
    </w:p>
    <w:p w:rsidR="00572744" w:rsidRPr="003E023F" w:rsidRDefault="00572744" w:rsidP="00572744">
      <w:pPr>
        <w:tabs>
          <w:tab w:val="left" w:pos="851"/>
          <w:tab w:val="left" w:pos="1134"/>
          <w:tab w:val="left" w:pos="1560"/>
        </w:tabs>
        <w:ind w:left="-1350" w:right="-990"/>
        <w:jc w:val="both"/>
        <w:rPr>
          <w:szCs w:val="24"/>
        </w:rPr>
      </w:pPr>
      <w:r w:rsidRPr="00090EAD">
        <w:rPr>
          <w:sz w:val="20"/>
        </w:rPr>
        <w:t xml:space="preserve">        - Unirea ipostatică operează fără confuzie- </w:t>
      </w:r>
      <w:r w:rsidRPr="00090EAD">
        <w:rPr>
          <w:i/>
          <w:sz w:val="20"/>
        </w:rPr>
        <w:t>asyngchytos</w:t>
      </w:r>
      <w:r w:rsidRPr="00090EAD">
        <w:rPr>
          <w:sz w:val="20"/>
        </w:rPr>
        <w:t xml:space="preserve">, fără schimbare- </w:t>
      </w:r>
      <w:r w:rsidRPr="00090EAD">
        <w:rPr>
          <w:i/>
          <w:sz w:val="20"/>
        </w:rPr>
        <w:t>atreptos</w:t>
      </w:r>
      <w:r w:rsidRPr="00090EAD">
        <w:rPr>
          <w:sz w:val="20"/>
        </w:rPr>
        <w:t xml:space="preserve"> , fără separare- </w:t>
      </w:r>
      <w:r w:rsidRPr="00090EAD">
        <w:rPr>
          <w:i/>
          <w:sz w:val="20"/>
        </w:rPr>
        <w:t>achoristos</w:t>
      </w:r>
      <w:r w:rsidRPr="00090EAD">
        <w:rPr>
          <w:sz w:val="20"/>
        </w:rPr>
        <w:t xml:space="preserve">, fără împărţire- </w:t>
      </w:r>
      <w:r w:rsidRPr="00090EAD">
        <w:rPr>
          <w:i/>
          <w:sz w:val="20"/>
        </w:rPr>
        <w:t>achiairetos.</w:t>
      </w:r>
      <w:r w:rsidRPr="00090EAD">
        <w:rPr>
          <w:sz w:val="20"/>
        </w:rPr>
        <w:t xml:space="preserve"> Cei care vorbesc de cele două naturi în Hristos nu neagă unirea lor indivizibilă. Cei care vorbesc de o natură divino-umană unită în Hristos nu neagă prezenţa divinului şi umanului în Hristos, fără schimbare şi fără confuzie.  Comisia mixtă s-a întâlnit din nou la Chambesy, noiembrie 1993, pentru a recomanda o procedură de restaurare a comuniunii depline între Bisericile respective</w:t>
      </w:r>
      <w:r w:rsidRPr="00090EAD">
        <w:rPr>
          <w:rStyle w:val="FootnoteReference"/>
          <w:sz w:val="20"/>
        </w:rPr>
        <w:footnoteReference w:id="84"/>
      </w:r>
      <w:r w:rsidRPr="003E023F">
        <w:rPr>
          <w:szCs w:val="24"/>
        </w:rPr>
        <w:t>.</w:t>
      </w:r>
    </w:p>
    <w:p w:rsidR="00572744" w:rsidRPr="003E023F" w:rsidRDefault="00572744" w:rsidP="00572744">
      <w:pPr>
        <w:tabs>
          <w:tab w:val="left" w:pos="851"/>
          <w:tab w:val="left" w:pos="1134"/>
          <w:tab w:val="left" w:pos="1560"/>
        </w:tabs>
        <w:ind w:left="-1350" w:right="-990" w:firstLine="851"/>
        <w:jc w:val="both"/>
        <w:rPr>
          <w:szCs w:val="24"/>
        </w:rPr>
      </w:pPr>
      <w:r w:rsidRPr="003E023F">
        <w:rPr>
          <w:szCs w:val="24"/>
        </w:rPr>
        <w:t>L-au preocupat mult pe părintele Stăniloae şi relaţiile Bisericii Ortodoxe cu anglicanii</w:t>
      </w:r>
      <w:r w:rsidRPr="003E023F">
        <w:rPr>
          <w:rStyle w:val="FootnoteReference"/>
          <w:szCs w:val="24"/>
        </w:rPr>
        <w:footnoteReference w:id="85"/>
      </w:r>
      <w:r w:rsidRPr="003E023F">
        <w:rPr>
          <w:szCs w:val="24"/>
        </w:rPr>
        <w:t>. Tratativele dintre delegaţia Bisericii Ortodoxe Române şi delegaţia Bisericii Anglicane din 1935 au avut loc în vederea recunoaşterii şi din partea Bisericii noastre a hirotoniilor anglicane. Această recunoaştere se obţinuse din partea Patriarhiei de Constantinopol încă din 1922, iar după un an şi din partea Patriarhiei Ierusalimului şi Bisericii Ortodoxe din Cipru. Biserica noastră a arătat de la început o anumită prudenţă, cerând, în anul 1925, “ca Biserica anglicană să-şi precizeze ea însăşi doctrina despre Sfintele Taine şi în special despre cea a hirotoniei: o consideră ea Taină sau nu?”</w:t>
      </w:r>
      <w:r w:rsidRPr="003E023F">
        <w:rPr>
          <w:rStyle w:val="FootnoteReference"/>
          <w:szCs w:val="24"/>
        </w:rPr>
        <w:footnoteReference w:id="86"/>
      </w:r>
      <w:r w:rsidRPr="003E023F">
        <w:rPr>
          <w:szCs w:val="24"/>
        </w:rPr>
        <w:t xml:space="preserve"> Reticenţa manifestată, care a ajuns să fie numită  „</w:t>
      </w:r>
      <w:r w:rsidRPr="003E023F">
        <w:rPr>
          <w:i/>
          <w:szCs w:val="24"/>
        </w:rPr>
        <w:t>teza</w:t>
      </w:r>
      <w:r w:rsidRPr="003E023F">
        <w:rPr>
          <w:szCs w:val="24"/>
        </w:rPr>
        <w:t xml:space="preserve"> </w:t>
      </w:r>
      <w:r w:rsidRPr="003E023F">
        <w:rPr>
          <w:i/>
          <w:szCs w:val="24"/>
        </w:rPr>
        <w:t>română”</w:t>
      </w:r>
      <w:r w:rsidRPr="003E023F">
        <w:rPr>
          <w:szCs w:val="24"/>
        </w:rPr>
        <w:t>,  a fost îndreptăţită, nu doar dacă avem în vedere situaţia actuală din Biserica anglicană, dar trebuia luată în considerare preeminenţa doctrinei. Nu putea fi recunoscută ca validă o taină, fără a cunoaşte învăţătura despre ea</w:t>
      </w:r>
      <w:r w:rsidRPr="003E023F">
        <w:rPr>
          <w:i/>
          <w:szCs w:val="24"/>
        </w:rPr>
        <w:t>.</w:t>
      </w:r>
      <w:r w:rsidRPr="003E023F">
        <w:rPr>
          <w:szCs w:val="24"/>
        </w:rPr>
        <w:t xml:space="preserve"> Consecventă acestui principiu, delegaţia română, prezentă la Conferinţa episcopatului anglican de la Lambeth (unde se dorea oferirea unui răspuns la întrebarea ortodocşilor români, pentru a se obţine recunoaşterea hirotoniilor din partea tuturor Bisericilor Ortodoxe, şi chiar o comuniune sacramentală), a insistat ca anglicanii să dea răspunsuri mai aprofundate privitor la doctrină, poziţie însuşită de întreaga delegaţie ortodoxă, în frunte cu patriarhul Macarie al Alexandriei. Recunoaşterea hirotoniilor era una limitată, deoarece nu ar fi însemnat, în nici un caz, </w:t>
      </w:r>
      <w:r w:rsidRPr="003E023F">
        <w:rPr>
          <w:i/>
          <w:szCs w:val="24"/>
        </w:rPr>
        <w:t>intercomuniunea</w:t>
      </w:r>
      <w:r w:rsidRPr="003E023F">
        <w:rPr>
          <w:szCs w:val="24"/>
        </w:rPr>
        <w:t xml:space="preserve">, decât în cazul ajungerii la deplina unitate de credinţă, pentru care - observa părintele Stăniloae- </w:t>
      </w:r>
      <w:r w:rsidRPr="003E023F">
        <w:rPr>
          <w:i/>
          <w:szCs w:val="24"/>
        </w:rPr>
        <w:t xml:space="preserve">va fi necesară şi o evoluţie fericită în sânul Bisericii anglicane, în sensul unificării în acest spirit a tuturor </w:t>
      </w:r>
      <w:r w:rsidRPr="003E023F">
        <w:rPr>
          <w:i/>
          <w:szCs w:val="24"/>
        </w:rPr>
        <w:lastRenderedPageBreak/>
        <w:t xml:space="preserve">curentelor ce se mai manifestă încă în ea, dintre care unele sunt foarte apropiate de Reformă. </w:t>
      </w:r>
      <w:r w:rsidRPr="003E023F">
        <w:rPr>
          <w:szCs w:val="24"/>
        </w:rPr>
        <w:t>Din păcate această evoluţie n-a avut loc, dimpotrivă, în noiembrie 1992 forurile deliberative au aprobat hirotonirea femeilor, fapt ce a dus la stagnarea dialogului, chiar dacă foarte bunele relaţii anterioare se repercutează pozitiv ( de ex. prin burse, este cunoscută bursa “Michael Ramsey”, în memoria unuia dintre cei mai mari susţinători ai bunelor relaţii cu ortodocşii, schimburi de studenţi, şi altele) .</w:t>
      </w:r>
    </w:p>
    <w:p w:rsidR="00572744" w:rsidRPr="003E023F" w:rsidRDefault="00572744" w:rsidP="00572744">
      <w:pPr>
        <w:tabs>
          <w:tab w:val="left" w:pos="851"/>
          <w:tab w:val="left" w:pos="1134"/>
          <w:tab w:val="left" w:pos="1560"/>
        </w:tabs>
        <w:ind w:left="-1350" w:right="-990"/>
        <w:jc w:val="both"/>
        <w:rPr>
          <w:szCs w:val="24"/>
        </w:rPr>
      </w:pPr>
      <w:r w:rsidRPr="003E023F">
        <w:rPr>
          <w:szCs w:val="24"/>
        </w:rPr>
        <w:t xml:space="preserve">          Tratativele de la Bucureşti şi rezultatele obţinute au constituit un pas important spre apropierea celor două Biserici şi au descoperit vocaţia ecumenică a Bisericii noastre reprezentate de teologi cu largă deschidere, dar şi cu maximă circumspecţie faţă de tot ce înseamnă tendinţă de relativizare a doctrinei şi implicit a succesiunii din </w:t>
      </w:r>
      <w:r w:rsidRPr="003E023F">
        <w:rPr>
          <w:i/>
          <w:szCs w:val="24"/>
        </w:rPr>
        <w:t>Faptele</w:t>
      </w:r>
      <w:r w:rsidRPr="003E023F">
        <w:rPr>
          <w:szCs w:val="24"/>
        </w:rPr>
        <w:t xml:space="preserve"> </w:t>
      </w:r>
      <w:r w:rsidRPr="003E023F">
        <w:rPr>
          <w:i/>
          <w:szCs w:val="24"/>
        </w:rPr>
        <w:t>Apostolilor</w:t>
      </w:r>
      <w:r w:rsidRPr="003E023F">
        <w:rPr>
          <w:szCs w:val="24"/>
        </w:rPr>
        <w:t xml:space="preserve"> 2,42</w:t>
      </w:r>
      <w:r w:rsidRPr="003E023F">
        <w:rPr>
          <w:rStyle w:val="FootnoteReference"/>
          <w:szCs w:val="24"/>
        </w:rPr>
        <w:footnoteReference w:id="87"/>
      </w:r>
      <w:r w:rsidRPr="003E023F">
        <w:rPr>
          <w:szCs w:val="24"/>
        </w:rPr>
        <w:t xml:space="preserve">. </w:t>
      </w:r>
    </w:p>
    <w:p w:rsidR="00572744" w:rsidRPr="003E023F" w:rsidRDefault="00572744" w:rsidP="00572744">
      <w:pPr>
        <w:tabs>
          <w:tab w:val="left" w:pos="1418"/>
        </w:tabs>
        <w:ind w:left="-1350" w:right="-990"/>
        <w:jc w:val="both"/>
        <w:rPr>
          <w:szCs w:val="24"/>
        </w:rPr>
      </w:pPr>
    </w:p>
    <w:p w:rsidR="00572744" w:rsidRDefault="00572744" w:rsidP="00572744">
      <w:pPr>
        <w:tabs>
          <w:tab w:val="left" w:pos="1418"/>
        </w:tabs>
        <w:ind w:left="-1350" w:right="-990"/>
        <w:jc w:val="both"/>
        <w:rPr>
          <w:szCs w:val="24"/>
        </w:rPr>
      </w:pPr>
      <w:r w:rsidRPr="003E023F">
        <w:rPr>
          <w:i/>
          <w:szCs w:val="24"/>
        </w:rPr>
        <w:t>b.Biserica deplină</w:t>
      </w:r>
    </w:p>
    <w:p w:rsidR="00572744" w:rsidRPr="003E023F" w:rsidRDefault="00572744" w:rsidP="00572744">
      <w:pPr>
        <w:tabs>
          <w:tab w:val="left" w:pos="1418"/>
        </w:tabs>
        <w:ind w:left="-1350" w:right="-990" w:firstLine="851"/>
        <w:jc w:val="both"/>
        <w:rPr>
          <w:szCs w:val="24"/>
        </w:rPr>
      </w:pPr>
      <w:r w:rsidRPr="003E023F">
        <w:rPr>
          <w:szCs w:val="24"/>
        </w:rPr>
        <w:t>Chiar dacă nu poate fi de acord cu mitropolitul Platon, care considera că toate confesiunile sunt despărţăminte egale ale aceleiaşi unice Biserici, părintele Stăniloae spune totuşi că “s-au format într-o anumită legătură cu Biserica deplină şi există într-o anumită legătură cu ea, dar nu se împărtăşesc de lumina şi de puterea deplină a soarelui Hristos. Într-un fel deci, Biserica cuprinde toate confesiunile despărţite de ea, întrucât ele nu s-au putut despărţi deplin de Tradiţia prezentă în ea. În altfel, Biserica în sensul deplin al cuvântului este numai cea ortodoxă. Într-un fel creaţia întreagă se află obiectiv încadrată în razele aceluiaşi Logos preincarnaţional, deci în faza Bisericii dinainte de Hristos, chemată să devină Biserica lui Hristos. Obiectiv şi subiectiv întreaga omenire de diferite credinţe cunoaşte într-o oarecare măsură pe Logosul  preincarnaţional (…). O anumită Biserică subzistă şi azi în afară de creştinism, întrucât există încă legături ontologice ale forţelor umane între ele şi cu Logosul dumnezeiesc”</w:t>
      </w:r>
      <w:r w:rsidRPr="003E023F">
        <w:rPr>
          <w:rStyle w:val="FootnoteReference"/>
          <w:szCs w:val="24"/>
        </w:rPr>
        <w:footnoteReference w:id="88"/>
      </w:r>
      <w:r w:rsidRPr="003E023F">
        <w:rPr>
          <w:szCs w:val="24"/>
        </w:rPr>
        <w:t xml:space="preserve">. De fapt, ne spune Sfântul Maxim Mărturisitorul, „Duhul Sfânt nu e absent din nici o făptură şi mai ales din cele ce s-au învrednicit de raţiune. El o susţine în existenţă pe fiecare (…) . Căci se întâmplă să aflăm şi dintre barbari şi nomazi mulţi care duc o viaţă de fapte bune şi resping legile sălbatice care stăpâneau odată în ei. Astfel se poate spune în chip general că în toţi este Duhul Sfânt” </w:t>
      </w:r>
      <w:r w:rsidRPr="003E023F">
        <w:rPr>
          <w:rStyle w:val="FootnoteReference"/>
          <w:szCs w:val="24"/>
        </w:rPr>
        <w:footnoteReference w:id="89"/>
      </w:r>
      <w:r w:rsidRPr="003E023F">
        <w:rPr>
          <w:szCs w:val="24"/>
        </w:rPr>
        <w:t xml:space="preserve">. “Cu atât mai mult există această biserică în celelalte formaţiuni creştine, dată fiind legătura lor prin credinţă cu Hristos, Logosul întrupat, şi dat fiind că au în parte o credinţă comună în Hristos cu Biserica ortodoxă, </w:t>
      </w:r>
      <w:r w:rsidRPr="003E023F">
        <w:rPr>
          <w:i/>
          <w:szCs w:val="24"/>
        </w:rPr>
        <w:t>Biserica</w:t>
      </w:r>
      <w:r w:rsidRPr="003E023F">
        <w:rPr>
          <w:szCs w:val="24"/>
        </w:rPr>
        <w:t xml:space="preserve"> </w:t>
      </w:r>
      <w:r w:rsidRPr="003E023F">
        <w:rPr>
          <w:i/>
          <w:szCs w:val="24"/>
        </w:rPr>
        <w:t>deplină</w:t>
      </w:r>
      <w:r w:rsidRPr="003E023F">
        <w:rPr>
          <w:szCs w:val="24"/>
        </w:rPr>
        <w:t>”</w:t>
      </w:r>
      <w:r w:rsidRPr="003E023F">
        <w:rPr>
          <w:rStyle w:val="FootnoteReference"/>
          <w:szCs w:val="24"/>
        </w:rPr>
        <w:footnoteReference w:id="90"/>
      </w:r>
      <w:r w:rsidRPr="003E023F">
        <w:rPr>
          <w:szCs w:val="24"/>
        </w:rPr>
        <w:t xml:space="preserve">. </w:t>
      </w:r>
    </w:p>
    <w:p w:rsidR="00572744" w:rsidRPr="003E023F" w:rsidRDefault="00572744" w:rsidP="00572744">
      <w:pPr>
        <w:tabs>
          <w:tab w:val="left" w:pos="0"/>
        </w:tabs>
        <w:ind w:left="-1350" w:right="-990" w:firstLine="851"/>
        <w:jc w:val="both"/>
        <w:rPr>
          <w:szCs w:val="24"/>
        </w:rPr>
      </w:pPr>
      <w:r w:rsidRPr="003E023F">
        <w:rPr>
          <w:szCs w:val="24"/>
        </w:rPr>
        <w:t>Cu toate că celelalte co</w:t>
      </w:r>
      <w:r>
        <w:rPr>
          <w:szCs w:val="24"/>
        </w:rPr>
        <w:t>nfesiuni creştine sunt numite “B</w:t>
      </w:r>
      <w:r w:rsidRPr="003E023F">
        <w:rPr>
          <w:szCs w:val="24"/>
        </w:rPr>
        <w:t>iserici nedepline”</w:t>
      </w:r>
      <w:r w:rsidRPr="003E023F">
        <w:rPr>
          <w:rStyle w:val="FootnoteReference"/>
          <w:szCs w:val="24"/>
        </w:rPr>
        <w:footnoteReference w:id="91"/>
      </w:r>
      <w:r w:rsidRPr="003E023F">
        <w:rPr>
          <w:szCs w:val="24"/>
        </w:rPr>
        <w:t>, unele mai aproape de deplinătate, altele mai îndepărtate,</w:t>
      </w:r>
      <w:r>
        <w:rPr>
          <w:szCs w:val="24"/>
        </w:rPr>
        <w:t xml:space="preserve"> este folosit totuşi termenul “B</w:t>
      </w:r>
      <w:r w:rsidRPr="003E023F">
        <w:rPr>
          <w:szCs w:val="24"/>
        </w:rPr>
        <w:t>iserică”, datorită</w:t>
      </w:r>
      <w:r w:rsidRPr="003E023F">
        <w:rPr>
          <w:i/>
          <w:szCs w:val="24"/>
        </w:rPr>
        <w:t xml:space="preserve"> </w:t>
      </w:r>
      <w:r w:rsidRPr="003E023F">
        <w:rPr>
          <w:szCs w:val="24"/>
        </w:rPr>
        <w:t xml:space="preserve">credinţei lor în parte comune, cu Biserica deplină. Mai mult, punând întrebarea dacă în situaţia de nedeplinătate bisericească, celelalte confesiuni pot oferi posibilitatea mântuirii, părintele răspunde: “În diferite confesiuni creştine sunt mulţi credincioşi a căror viaţă creştină nu s-a redus la formulele doctrinare oficiale ale confesiunilor lor. Tradiţia veche creştină a fost mai tare decăt inovaţiile  de doctrină aduse de întemeietorii lor şi susţinute în mod oficial până azi de acele formaţiuni şi de teologii lor. În catolicism de exemplu se practică până azi Tainele însoţite de convingerea credincioşilor că prin ele se unesc intim şi nemijlocit cu Hristos, deci că Hristos este lucrător în sânul Bisericii, deşi teoria teologică a dat lui Hristos un locţiitor, şi concepe mântuirea adusă de Hristos ca înfăptuită prin simpla satisfacţie dată de El lui Dumnezeu, pe Golgota, sau declară că harul primit în Taine este o graţie creată, nu o lucrare izvorâtoare din dumnezeirea necreată a lui Hristos, şi ca prelungire a ei în fiinţa credincioşilor”. Totuşi, deşi: “credincioşii diferitelor confesiuni creştine s-au pomenit fără voia lor în cadrul acelor denominaţiuni cu credinţe despre un Hristos care nu e prezent cu toată eficienţa Lui mântuitoare în sânul lor, participarea lor nedeplină la Hristos, şi aceasta în mare măsură fără vina lor, poate avea ca urmare o </w:t>
      </w:r>
      <w:r w:rsidRPr="003E023F">
        <w:rPr>
          <w:szCs w:val="24"/>
        </w:rPr>
        <w:lastRenderedPageBreak/>
        <w:t>participare nedeplină la El şi în viaţa viitoare, conform cuvântului Mântuitorului: „</w:t>
      </w:r>
      <w:r w:rsidRPr="003E023F">
        <w:rPr>
          <w:i/>
          <w:szCs w:val="24"/>
        </w:rPr>
        <w:t>În casa Tatălui Meu multe locaşuri sunt</w:t>
      </w:r>
      <w:r w:rsidRPr="003E023F">
        <w:rPr>
          <w:szCs w:val="24"/>
        </w:rPr>
        <w:t xml:space="preserve"> (</w:t>
      </w:r>
      <w:r w:rsidRPr="003E023F">
        <w:rPr>
          <w:i/>
          <w:szCs w:val="24"/>
        </w:rPr>
        <w:t>In</w:t>
      </w:r>
      <w:r w:rsidRPr="003E023F">
        <w:rPr>
          <w:szCs w:val="24"/>
        </w:rPr>
        <w:t xml:space="preserve"> 14,2)”. Vina esenţială o au ereziarhii, care nu au aprofundat credinţa moştenită, ci fiind dominaţi de patima trufiei, au contribuit  la lucrarea demonică de sfâşiere a creştinismului.</w:t>
      </w:r>
      <w:r w:rsidRPr="003E023F">
        <w:rPr>
          <w:rStyle w:val="FootnoteReference"/>
          <w:szCs w:val="24"/>
        </w:rPr>
        <w:footnoteReference w:id="92"/>
      </w:r>
    </w:p>
    <w:p w:rsidR="00572744" w:rsidRPr="003E023F" w:rsidRDefault="00572744" w:rsidP="00572744">
      <w:pPr>
        <w:tabs>
          <w:tab w:val="left" w:pos="142"/>
        </w:tabs>
        <w:ind w:left="-1350" w:right="-990" w:firstLine="851"/>
        <w:jc w:val="both"/>
        <w:rPr>
          <w:szCs w:val="24"/>
        </w:rPr>
      </w:pPr>
      <w:r w:rsidRPr="003E023F">
        <w:rPr>
          <w:szCs w:val="24"/>
        </w:rPr>
        <w:t>În concluzie am putea spune că se face distincţia clară între cei născuţi în familii aparţinând diferitelor denominaţiuni, şi ereziarhii şi credincioşii de rând care au părăsit Biserica deplină din diferite interese, sau poate din ignoranţă, care este însă un mare păcat, şi se apreciează că mişcarea ecumenică, în încercarea sa de restabilire a unităţii Bisericii, “trebuie să tindă spre cea mai intimă prezenţă a lui Hristos întreg în sânul credincioşilor. Dar gradul celei mai intime prezenţe lucrătoare a lui Hristos în sânul ei, îl mărturiseşte şi îl experiază Biserica Ortodoxă, care a păstrat tradiţia de viaţă a Bisericii primare”</w:t>
      </w:r>
      <w:r w:rsidRPr="003E023F">
        <w:rPr>
          <w:rStyle w:val="FootnoteReference"/>
          <w:szCs w:val="24"/>
        </w:rPr>
        <w:footnoteReference w:id="93"/>
      </w:r>
      <w:r w:rsidRPr="003E023F">
        <w:rPr>
          <w:szCs w:val="24"/>
        </w:rPr>
        <w:t>.</w:t>
      </w:r>
    </w:p>
    <w:p w:rsidR="00572744" w:rsidRPr="003E023F" w:rsidRDefault="00572744" w:rsidP="00572744">
      <w:pPr>
        <w:tabs>
          <w:tab w:val="left" w:pos="142"/>
        </w:tabs>
        <w:ind w:left="-1350" w:right="-990" w:firstLine="851"/>
        <w:jc w:val="both"/>
        <w:rPr>
          <w:b/>
          <w:szCs w:val="24"/>
        </w:rPr>
      </w:pPr>
    </w:p>
    <w:p w:rsidR="00572744" w:rsidRPr="003E023F" w:rsidRDefault="00572744" w:rsidP="00572744">
      <w:pPr>
        <w:tabs>
          <w:tab w:val="left" w:pos="142"/>
        </w:tabs>
        <w:ind w:left="-1350" w:right="-990"/>
        <w:jc w:val="both"/>
        <w:rPr>
          <w:i/>
          <w:szCs w:val="24"/>
        </w:rPr>
      </w:pPr>
      <w:r w:rsidRPr="003E023F">
        <w:rPr>
          <w:i/>
          <w:szCs w:val="24"/>
        </w:rPr>
        <w:t xml:space="preserve">B. Koinonia-  caracteristică primordială a Bisericii </w:t>
      </w:r>
    </w:p>
    <w:p w:rsidR="00572744" w:rsidRPr="003E023F" w:rsidRDefault="00572744" w:rsidP="00572744">
      <w:pPr>
        <w:tabs>
          <w:tab w:val="left" w:pos="851"/>
        </w:tabs>
        <w:ind w:left="-1350" w:right="-990" w:firstLine="851"/>
        <w:jc w:val="both"/>
        <w:rPr>
          <w:szCs w:val="24"/>
        </w:rPr>
      </w:pPr>
      <w:r w:rsidRPr="003E023F">
        <w:rPr>
          <w:szCs w:val="24"/>
        </w:rPr>
        <w:tab/>
      </w:r>
    </w:p>
    <w:p w:rsidR="00572744" w:rsidRPr="003E023F" w:rsidRDefault="00572744" w:rsidP="00572744">
      <w:pPr>
        <w:ind w:left="-1350" w:right="-990" w:firstLine="851"/>
        <w:jc w:val="both"/>
        <w:rPr>
          <w:szCs w:val="24"/>
        </w:rPr>
      </w:pPr>
      <w:r w:rsidRPr="003E023F">
        <w:rPr>
          <w:szCs w:val="24"/>
        </w:rPr>
        <w:t>Într-un amplu şi interesant studiu despre</w:t>
      </w:r>
      <w:r w:rsidRPr="003E023F">
        <w:rPr>
          <w:i/>
          <w:szCs w:val="24"/>
        </w:rPr>
        <w:t xml:space="preserve"> koinonia</w:t>
      </w:r>
      <w:r w:rsidRPr="003E023F">
        <w:rPr>
          <w:szCs w:val="24"/>
        </w:rPr>
        <w:t xml:space="preserve"> intitulat: „Growing together towards a full koinonia”</w:t>
      </w:r>
      <w:r w:rsidRPr="003E023F">
        <w:rPr>
          <w:rStyle w:val="FootnoteReference"/>
          <w:szCs w:val="24"/>
        </w:rPr>
        <w:footnoteReference w:id="94"/>
      </w:r>
      <w:r w:rsidRPr="003E023F">
        <w:rPr>
          <w:i/>
          <w:szCs w:val="24"/>
        </w:rPr>
        <w:t xml:space="preserve">, </w:t>
      </w:r>
      <w:r w:rsidRPr="003E023F">
        <w:rPr>
          <w:szCs w:val="24"/>
        </w:rPr>
        <w:t xml:space="preserve">semnat de  arhiepiscopul Aram Keshishian, se arată de la început că aceasta aparţine fiinţei Bisericii, Biserica fiind </w:t>
      </w:r>
      <w:r w:rsidRPr="003E023F">
        <w:rPr>
          <w:i/>
          <w:szCs w:val="24"/>
        </w:rPr>
        <w:t>sancta communio</w:t>
      </w:r>
      <w:r w:rsidRPr="003E023F">
        <w:rPr>
          <w:szCs w:val="24"/>
        </w:rPr>
        <w:t xml:space="preserve">. Termenul </w:t>
      </w:r>
      <w:r w:rsidRPr="003E023F">
        <w:rPr>
          <w:i/>
          <w:szCs w:val="24"/>
        </w:rPr>
        <w:t>koinonia</w:t>
      </w:r>
      <w:r w:rsidRPr="003E023F">
        <w:rPr>
          <w:szCs w:val="24"/>
        </w:rPr>
        <w:t xml:space="preserve"> provine din limba greacă, </w:t>
      </w:r>
      <w:r w:rsidRPr="003E023F">
        <w:rPr>
          <w:i/>
          <w:szCs w:val="24"/>
        </w:rPr>
        <w:t>koinos</w:t>
      </w:r>
      <w:r w:rsidRPr="003E023F">
        <w:rPr>
          <w:szCs w:val="24"/>
        </w:rPr>
        <w:t xml:space="preserve"> însemnând “comun”, iar </w:t>
      </w:r>
      <w:r w:rsidRPr="003E023F">
        <w:rPr>
          <w:i/>
          <w:szCs w:val="24"/>
        </w:rPr>
        <w:t xml:space="preserve">koinoo </w:t>
      </w:r>
      <w:r w:rsidRPr="003E023F">
        <w:rPr>
          <w:szCs w:val="24"/>
        </w:rPr>
        <w:t xml:space="preserve">“a pune împreună. </w:t>
      </w:r>
      <w:r w:rsidRPr="003E023F">
        <w:rPr>
          <w:i/>
          <w:szCs w:val="24"/>
        </w:rPr>
        <w:t>Koinonia</w:t>
      </w:r>
      <w:r w:rsidRPr="003E023F">
        <w:rPr>
          <w:szCs w:val="24"/>
        </w:rPr>
        <w:t xml:space="preserve"> se referă la acţiunea de a avea ceva în comun, a împărtăşi, a participa la o realitate comună, a activa împreună. Echivalentul latin este </w:t>
      </w:r>
      <w:r w:rsidRPr="003E023F">
        <w:rPr>
          <w:i/>
          <w:szCs w:val="24"/>
        </w:rPr>
        <w:t>communio</w:t>
      </w:r>
      <w:r w:rsidRPr="003E023F">
        <w:rPr>
          <w:szCs w:val="24"/>
        </w:rPr>
        <w:t>.</w:t>
      </w:r>
    </w:p>
    <w:p w:rsidR="00572744" w:rsidRPr="003E023F" w:rsidRDefault="00572744" w:rsidP="00572744">
      <w:pPr>
        <w:ind w:left="-1350" w:right="-990" w:firstLine="851"/>
        <w:jc w:val="both"/>
        <w:rPr>
          <w:szCs w:val="24"/>
        </w:rPr>
      </w:pPr>
      <w:r w:rsidRPr="003E023F">
        <w:rPr>
          <w:szCs w:val="24"/>
        </w:rPr>
        <w:t>Avându-şi rădăcinile în Vechiul Testament, legământul dintre Dumnezeu şi poporul său era expresia angajamentului reciproc (</w:t>
      </w:r>
      <w:r w:rsidRPr="003E023F">
        <w:rPr>
          <w:i/>
          <w:szCs w:val="24"/>
        </w:rPr>
        <w:t>Ieremia</w:t>
      </w:r>
      <w:r w:rsidRPr="003E023F">
        <w:rPr>
          <w:szCs w:val="24"/>
        </w:rPr>
        <w:t xml:space="preserve"> 24,7), în Noul Testament </w:t>
      </w:r>
      <w:r w:rsidRPr="003E023F">
        <w:rPr>
          <w:i/>
          <w:szCs w:val="24"/>
        </w:rPr>
        <w:t xml:space="preserve">koinonia </w:t>
      </w:r>
      <w:r w:rsidRPr="003E023F">
        <w:rPr>
          <w:szCs w:val="24"/>
        </w:rPr>
        <w:t xml:space="preserve">este fundamentală pentru înţelegerea realităţii Bisericii, atingând diferite concepte de bază cum ar fi: viaţa împreună ( </w:t>
      </w:r>
      <w:r w:rsidRPr="003E023F">
        <w:rPr>
          <w:i/>
          <w:szCs w:val="24"/>
        </w:rPr>
        <w:t>F</w:t>
      </w:r>
      <w:r w:rsidRPr="003E023F">
        <w:rPr>
          <w:szCs w:val="24"/>
        </w:rPr>
        <w:t>.</w:t>
      </w:r>
      <w:r w:rsidRPr="003E023F">
        <w:rPr>
          <w:i/>
          <w:szCs w:val="24"/>
        </w:rPr>
        <w:t>Ap</w:t>
      </w:r>
      <w:r w:rsidRPr="003E023F">
        <w:rPr>
          <w:szCs w:val="24"/>
        </w:rPr>
        <w:t xml:space="preserve">.2,44,47), a fi într-o inimă şi într-un cuget (4,32), a avea toate în comun ( 2,44), ş.a.. </w:t>
      </w:r>
      <w:r w:rsidRPr="003E023F">
        <w:rPr>
          <w:i/>
          <w:szCs w:val="24"/>
        </w:rPr>
        <w:t xml:space="preserve">Koinonia </w:t>
      </w:r>
      <w:r w:rsidRPr="003E023F">
        <w:rPr>
          <w:szCs w:val="24"/>
        </w:rPr>
        <w:t>se referă la “</w:t>
      </w:r>
      <w:r w:rsidRPr="003E023F">
        <w:rPr>
          <w:i/>
          <w:szCs w:val="24"/>
        </w:rPr>
        <w:t>trupul lui Hristos</w:t>
      </w:r>
      <w:r w:rsidRPr="003E023F">
        <w:rPr>
          <w:szCs w:val="24"/>
        </w:rPr>
        <w:t>”(</w:t>
      </w:r>
      <w:r w:rsidRPr="003E023F">
        <w:rPr>
          <w:i/>
          <w:szCs w:val="24"/>
        </w:rPr>
        <w:t>1Cor</w:t>
      </w:r>
      <w:r w:rsidRPr="003E023F">
        <w:rPr>
          <w:szCs w:val="24"/>
        </w:rPr>
        <w:t>.12),”</w:t>
      </w:r>
      <w:r w:rsidRPr="003E023F">
        <w:rPr>
          <w:i/>
          <w:szCs w:val="24"/>
        </w:rPr>
        <w:t>a fi în</w:t>
      </w:r>
      <w:r w:rsidRPr="003E023F">
        <w:rPr>
          <w:szCs w:val="24"/>
        </w:rPr>
        <w:t>” şi “</w:t>
      </w:r>
      <w:r w:rsidRPr="003E023F">
        <w:rPr>
          <w:i/>
          <w:szCs w:val="24"/>
        </w:rPr>
        <w:t>a rămâne în</w:t>
      </w:r>
      <w:r w:rsidRPr="003E023F">
        <w:rPr>
          <w:szCs w:val="24"/>
        </w:rPr>
        <w:t>” Hristos (</w:t>
      </w:r>
      <w:r w:rsidRPr="003E023F">
        <w:rPr>
          <w:i/>
          <w:szCs w:val="24"/>
        </w:rPr>
        <w:t>In</w:t>
      </w:r>
      <w:r w:rsidRPr="003E023F">
        <w:rPr>
          <w:szCs w:val="24"/>
        </w:rPr>
        <w:t xml:space="preserve">.14,20,23; </w:t>
      </w:r>
      <w:r w:rsidRPr="003E023F">
        <w:rPr>
          <w:i/>
          <w:szCs w:val="24"/>
        </w:rPr>
        <w:t>1In</w:t>
      </w:r>
      <w:r w:rsidRPr="003E023F">
        <w:rPr>
          <w:szCs w:val="24"/>
        </w:rPr>
        <w:t>. 3,19-24). Alte imagini ale Bisericii ca: “</w:t>
      </w:r>
      <w:r w:rsidRPr="003E023F">
        <w:rPr>
          <w:i/>
          <w:szCs w:val="24"/>
        </w:rPr>
        <w:t>poporul lui Dumnezeu</w:t>
      </w:r>
      <w:r w:rsidRPr="003E023F">
        <w:rPr>
          <w:szCs w:val="24"/>
        </w:rPr>
        <w:t>”, “</w:t>
      </w:r>
      <w:r w:rsidRPr="003E023F">
        <w:rPr>
          <w:i/>
          <w:szCs w:val="24"/>
        </w:rPr>
        <w:t>templu”</w:t>
      </w:r>
      <w:r w:rsidRPr="003E023F">
        <w:rPr>
          <w:szCs w:val="24"/>
        </w:rPr>
        <w:t>al Sfântului Duh şi</w:t>
      </w:r>
      <w:r w:rsidRPr="003E023F">
        <w:rPr>
          <w:i/>
          <w:szCs w:val="24"/>
        </w:rPr>
        <w:t xml:space="preserve"> “mireasă</w:t>
      </w:r>
      <w:r w:rsidRPr="003E023F">
        <w:rPr>
          <w:szCs w:val="24"/>
        </w:rPr>
        <w:t xml:space="preserve">” sunt expresii variate ale </w:t>
      </w:r>
      <w:r w:rsidRPr="003E023F">
        <w:rPr>
          <w:i/>
          <w:szCs w:val="24"/>
        </w:rPr>
        <w:t>koinoniei</w:t>
      </w:r>
      <w:r w:rsidRPr="003E023F">
        <w:rPr>
          <w:szCs w:val="24"/>
        </w:rPr>
        <w:t xml:space="preserve">. Astfel </w:t>
      </w:r>
      <w:r w:rsidRPr="003E023F">
        <w:rPr>
          <w:i/>
          <w:szCs w:val="24"/>
        </w:rPr>
        <w:t>koinonia</w:t>
      </w:r>
      <w:r w:rsidRPr="003E023F">
        <w:rPr>
          <w:szCs w:val="24"/>
        </w:rPr>
        <w:t xml:space="preserve"> înseamnă atât participarea poporului lui Dumnezeu la viaţa Sfintei Treimi, cât şi comuniunea din cadrul  poporului care constituie </w:t>
      </w:r>
      <w:r w:rsidRPr="003E023F">
        <w:rPr>
          <w:i/>
          <w:szCs w:val="24"/>
        </w:rPr>
        <w:t xml:space="preserve">koinonia </w:t>
      </w:r>
      <w:r w:rsidRPr="003E023F">
        <w:rPr>
          <w:rStyle w:val="FootnoteReference"/>
          <w:szCs w:val="24"/>
        </w:rPr>
        <w:footnoteReference w:id="95"/>
      </w:r>
      <w:r w:rsidRPr="003E023F">
        <w:rPr>
          <w:szCs w:val="24"/>
        </w:rPr>
        <w:t>.</w:t>
      </w:r>
      <w:r w:rsidRPr="003E023F">
        <w:rPr>
          <w:i/>
          <w:szCs w:val="24"/>
        </w:rPr>
        <w:t xml:space="preserve"> </w:t>
      </w:r>
      <w:r w:rsidRPr="003E023F">
        <w:rPr>
          <w:szCs w:val="24"/>
        </w:rPr>
        <w:t xml:space="preserve">În continuare sunt evidenţiate mai multe trăsături caracteristice ale </w:t>
      </w:r>
      <w:r w:rsidRPr="003E023F">
        <w:rPr>
          <w:i/>
          <w:szCs w:val="24"/>
        </w:rPr>
        <w:t xml:space="preserve">koinoniei </w:t>
      </w:r>
      <w:r w:rsidRPr="003E023F">
        <w:rPr>
          <w:szCs w:val="24"/>
        </w:rPr>
        <w:t>pe care le  redăm rezumativ :</w:t>
      </w:r>
    </w:p>
    <w:p w:rsidR="00572744" w:rsidRPr="003E023F" w:rsidRDefault="00572744" w:rsidP="00572744">
      <w:pPr>
        <w:ind w:left="-1350" w:right="-990" w:firstLine="851"/>
        <w:jc w:val="both"/>
        <w:rPr>
          <w:szCs w:val="24"/>
        </w:rPr>
      </w:pPr>
      <w:r w:rsidRPr="003E023F">
        <w:rPr>
          <w:szCs w:val="24"/>
        </w:rPr>
        <w:t>-</w:t>
      </w:r>
      <w:r w:rsidRPr="003E023F">
        <w:rPr>
          <w:i/>
          <w:szCs w:val="24"/>
        </w:rPr>
        <w:t xml:space="preserve">koinonia </w:t>
      </w:r>
      <w:r w:rsidRPr="003E023F">
        <w:rPr>
          <w:szCs w:val="24"/>
        </w:rPr>
        <w:t>nu este</w:t>
      </w:r>
      <w:r w:rsidRPr="003E023F">
        <w:rPr>
          <w:i/>
          <w:szCs w:val="24"/>
        </w:rPr>
        <w:t xml:space="preserve"> </w:t>
      </w:r>
      <w:r w:rsidRPr="003E023F">
        <w:rPr>
          <w:szCs w:val="24"/>
        </w:rPr>
        <w:t xml:space="preserve">doar o realitate hristologică sau pnevmatologică, ci viaţa de comuniune a Sfintei Treimi este prototipul şi sursa ei. De fapt Biserica este icoana </w:t>
      </w:r>
      <w:r w:rsidRPr="003E023F">
        <w:rPr>
          <w:i/>
          <w:szCs w:val="24"/>
        </w:rPr>
        <w:t>koinoniei</w:t>
      </w:r>
      <w:r w:rsidRPr="003E023F">
        <w:rPr>
          <w:szCs w:val="24"/>
        </w:rPr>
        <w:t xml:space="preserve"> intratrinitare.</w:t>
      </w:r>
    </w:p>
    <w:p w:rsidR="00572744" w:rsidRPr="003E023F" w:rsidRDefault="00572744" w:rsidP="00572744">
      <w:pPr>
        <w:ind w:left="-1350" w:right="-990" w:firstLine="851"/>
        <w:jc w:val="both"/>
        <w:rPr>
          <w:szCs w:val="24"/>
        </w:rPr>
      </w:pPr>
      <w:r w:rsidRPr="003E023F">
        <w:rPr>
          <w:szCs w:val="24"/>
        </w:rPr>
        <w:t>-</w:t>
      </w:r>
      <w:r w:rsidRPr="003E023F">
        <w:rPr>
          <w:i/>
          <w:szCs w:val="24"/>
        </w:rPr>
        <w:t xml:space="preserve">koinonia </w:t>
      </w:r>
      <w:r w:rsidRPr="003E023F">
        <w:rPr>
          <w:szCs w:val="24"/>
        </w:rPr>
        <w:t>nu este o realizare omenească, este un dar al Sfântului Duh. Este „</w:t>
      </w:r>
      <w:r w:rsidRPr="003E023F">
        <w:rPr>
          <w:i/>
          <w:szCs w:val="24"/>
        </w:rPr>
        <w:t>împărtăşirea (koinonia) Sfântului Duh</w:t>
      </w:r>
      <w:r w:rsidRPr="003E023F">
        <w:rPr>
          <w:szCs w:val="24"/>
        </w:rPr>
        <w:t xml:space="preserve">”( </w:t>
      </w:r>
      <w:r w:rsidRPr="003E023F">
        <w:rPr>
          <w:i/>
          <w:szCs w:val="24"/>
        </w:rPr>
        <w:t>2Cor</w:t>
      </w:r>
      <w:r w:rsidRPr="003E023F">
        <w:rPr>
          <w:szCs w:val="24"/>
        </w:rPr>
        <w:t xml:space="preserve">.13,13). </w:t>
      </w:r>
      <w:r w:rsidRPr="003E023F">
        <w:rPr>
          <w:i/>
          <w:szCs w:val="24"/>
        </w:rPr>
        <w:t xml:space="preserve">Koinonia </w:t>
      </w:r>
      <w:r w:rsidRPr="003E023F">
        <w:rPr>
          <w:szCs w:val="24"/>
        </w:rPr>
        <w:t xml:space="preserve">cu Hristos este </w:t>
      </w:r>
      <w:r w:rsidRPr="003E023F">
        <w:rPr>
          <w:i/>
          <w:szCs w:val="24"/>
        </w:rPr>
        <w:t>koinonia</w:t>
      </w:r>
      <w:r w:rsidRPr="003E023F">
        <w:rPr>
          <w:szCs w:val="24"/>
        </w:rPr>
        <w:t xml:space="preserve"> în Duhul Sfânt. </w:t>
      </w:r>
      <w:r w:rsidRPr="003E023F">
        <w:rPr>
          <w:i/>
          <w:szCs w:val="24"/>
        </w:rPr>
        <w:t xml:space="preserve">Koinonia </w:t>
      </w:r>
      <w:r w:rsidRPr="003E023F">
        <w:rPr>
          <w:szCs w:val="24"/>
        </w:rPr>
        <w:t xml:space="preserve">este o realitate dăruită în Hristos, o dată pentru totdeauna, o realitate trăită în trupul lui Hristos. </w:t>
      </w:r>
    </w:p>
    <w:p w:rsidR="00572744" w:rsidRPr="003E023F" w:rsidRDefault="00572744" w:rsidP="00572744">
      <w:pPr>
        <w:ind w:left="-1350" w:right="-990" w:firstLine="851"/>
        <w:jc w:val="both"/>
        <w:rPr>
          <w:szCs w:val="24"/>
        </w:rPr>
      </w:pPr>
      <w:r w:rsidRPr="003E023F">
        <w:rPr>
          <w:szCs w:val="24"/>
        </w:rPr>
        <w:t xml:space="preserve">-Botezul este temeiul </w:t>
      </w:r>
      <w:r w:rsidRPr="003E023F">
        <w:rPr>
          <w:i/>
          <w:szCs w:val="24"/>
        </w:rPr>
        <w:t>koinoniei</w:t>
      </w:r>
      <w:r w:rsidRPr="003E023F">
        <w:rPr>
          <w:szCs w:val="24"/>
        </w:rPr>
        <w:t xml:space="preserve"> şi sursa unităţii sale. Prin Botez, oamenii sunt încorporaţi </w:t>
      </w:r>
      <w:r w:rsidRPr="003E023F">
        <w:rPr>
          <w:i/>
          <w:szCs w:val="24"/>
        </w:rPr>
        <w:t>koinoniei</w:t>
      </w:r>
      <w:r w:rsidRPr="003E023F">
        <w:rPr>
          <w:szCs w:val="24"/>
        </w:rPr>
        <w:t xml:space="preserve"> Sfintei Treimi ( </w:t>
      </w:r>
      <w:r w:rsidRPr="003E023F">
        <w:rPr>
          <w:i/>
          <w:szCs w:val="24"/>
        </w:rPr>
        <w:t>Rm</w:t>
      </w:r>
      <w:r w:rsidRPr="003E023F">
        <w:rPr>
          <w:szCs w:val="24"/>
        </w:rPr>
        <w:t>.6,4-11). Botezul este unire “</w:t>
      </w:r>
      <w:r w:rsidRPr="003E023F">
        <w:rPr>
          <w:i/>
          <w:szCs w:val="24"/>
        </w:rPr>
        <w:t>cu</w:t>
      </w:r>
      <w:r w:rsidRPr="003E023F">
        <w:rPr>
          <w:szCs w:val="24"/>
        </w:rPr>
        <w:t xml:space="preserve"> </w:t>
      </w:r>
      <w:r w:rsidRPr="003E023F">
        <w:rPr>
          <w:i/>
          <w:szCs w:val="24"/>
        </w:rPr>
        <w:t>Hristos”</w:t>
      </w:r>
      <w:r w:rsidRPr="003E023F">
        <w:rPr>
          <w:szCs w:val="24"/>
        </w:rPr>
        <w:t>(</w:t>
      </w:r>
      <w:r w:rsidRPr="003E023F">
        <w:rPr>
          <w:i/>
          <w:szCs w:val="24"/>
        </w:rPr>
        <w:t>Rm</w:t>
      </w:r>
      <w:r w:rsidRPr="003E023F">
        <w:rPr>
          <w:szCs w:val="24"/>
        </w:rPr>
        <w:t xml:space="preserve">.6,8), încorporare </w:t>
      </w:r>
      <w:r w:rsidRPr="003E023F">
        <w:rPr>
          <w:i/>
          <w:szCs w:val="24"/>
        </w:rPr>
        <w:t>“în Hristos”</w:t>
      </w:r>
      <w:r w:rsidRPr="003E023F">
        <w:rPr>
          <w:szCs w:val="24"/>
        </w:rPr>
        <w:t xml:space="preserve">( </w:t>
      </w:r>
      <w:r w:rsidRPr="003E023F">
        <w:rPr>
          <w:i/>
          <w:szCs w:val="24"/>
        </w:rPr>
        <w:t>Gal</w:t>
      </w:r>
      <w:r w:rsidRPr="003E023F">
        <w:rPr>
          <w:szCs w:val="24"/>
        </w:rPr>
        <w:t>.3,27) şi existenţă “</w:t>
      </w:r>
      <w:r w:rsidRPr="003E023F">
        <w:rPr>
          <w:i/>
          <w:szCs w:val="24"/>
        </w:rPr>
        <w:t>în Hristos”</w:t>
      </w:r>
      <w:r w:rsidRPr="003E023F">
        <w:rPr>
          <w:szCs w:val="24"/>
        </w:rPr>
        <w:t xml:space="preserve"> (</w:t>
      </w:r>
      <w:r w:rsidRPr="003E023F">
        <w:rPr>
          <w:i/>
          <w:szCs w:val="24"/>
        </w:rPr>
        <w:t>1Pt</w:t>
      </w:r>
      <w:r w:rsidRPr="003E023F">
        <w:rPr>
          <w:szCs w:val="24"/>
        </w:rPr>
        <w:t xml:space="preserve">.5,14). Prin Botez creştinii sunt uniţi cu Hristos, unul cu altul şi cu Biserica din toate timpurile şi locurile. Botezul are o semnificaţie ecclesiologică deoarece crează şi susţine </w:t>
      </w:r>
      <w:r w:rsidRPr="003E023F">
        <w:rPr>
          <w:i/>
          <w:szCs w:val="24"/>
        </w:rPr>
        <w:t>koinonia.</w:t>
      </w:r>
    </w:p>
    <w:p w:rsidR="00572744" w:rsidRPr="003E023F" w:rsidRDefault="00572744" w:rsidP="00572744">
      <w:pPr>
        <w:tabs>
          <w:tab w:val="left" w:pos="1418"/>
        </w:tabs>
        <w:ind w:left="-1350" w:right="-990" w:firstLine="851"/>
        <w:jc w:val="both"/>
        <w:rPr>
          <w:i/>
          <w:szCs w:val="24"/>
        </w:rPr>
      </w:pPr>
      <w:r w:rsidRPr="003E023F">
        <w:rPr>
          <w:szCs w:val="24"/>
        </w:rPr>
        <w:t>-</w:t>
      </w:r>
      <w:r w:rsidRPr="003E023F">
        <w:rPr>
          <w:i/>
          <w:szCs w:val="24"/>
        </w:rPr>
        <w:t xml:space="preserve">koinonia </w:t>
      </w:r>
      <w:r w:rsidRPr="003E023F">
        <w:rPr>
          <w:szCs w:val="24"/>
        </w:rPr>
        <w:t xml:space="preserve">este stabilită prin Botez şi susţinută de Euharistie. Euharistia este suprema manifestare a </w:t>
      </w:r>
      <w:r w:rsidRPr="003E023F">
        <w:rPr>
          <w:i/>
          <w:szCs w:val="24"/>
        </w:rPr>
        <w:t xml:space="preserve">koinoniei. </w:t>
      </w:r>
      <w:r w:rsidRPr="003E023F">
        <w:rPr>
          <w:szCs w:val="24"/>
        </w:rPr>
        <w:t xml:space="preserve">Prin Euharistie, Biserica devine </w:t>
      </w:r>
      <w:r w:rsidRPr="003E023F">
        <w:rPr>
          <w:i/>
          <w:szCs w:val="24"/>
        </w:rPr>
        <w:t xml:space="preserve">koinonia. </w:t>
      </w:r>
    </w:p>
    <w:p w:rsidR="00572744" w:rsidRPr="003E023F" w:rsidRDefault="00572744" w:rsidP="00572744">
      <w:pPr>
        <w:tabs>
          <w:tab w:val="left" w:pos="1418"/>
        </w:tabs>
        <w:ind w:left="-1350" w:right="-990" w:firstLine="851"/>
        <w:jc w:val="both"/>
        <w:rPr>
          <w:szCs w:val="24"/>
        </w:rPr>
      </w:pPr>
      <w:r w:rsidRPr="003E023F">
        <w:rPr>
          <w:szCs w:val="24"/>
        </w:rPr>
        <w:t xml:space="preserve">-drept concept, </w:t>
      </w:r>
      <w:r w:rsidRPr="003E023F">
        <w:rPr>
          <w:i/>
          <w:szCs w:val="24"/>
        </w:rPr>
        <w:t>koinonia</w:t>
      </w:r>
      <w:r w:rsidRPr="003E023F">
        <w:rPr>
          <w:szCs w:val="24"/>
        </w:rPr>
        <w:t xml:space="preserve"> ţine împreună dimensiunea verticală, sursa dumnezeiască, cu cea orizontală, adunarea văzută a poporului lui Dumnezeu.</w:t>
      </w:r>
    </w:p>
    <w:p w:rsidR="00572744" w:rsidRPr="003E023F" w:rsidRDefault="00572744" w:rsidP="00572744">
      <w:pPr>
        <w:tabs>
          <w:tab w:val="left" w:pos="1418"/>
        </w:tabs>
        <w:ind w:left="-1350" w:right="-990" w:firstLine="851"/>
        <w:jc w:val="both"/>
        <w:rPr>
          <w:i/>
          <w:szCs w:val="24"/>
        </w:rPr>
      </w:pPr>
      <w:r w:rsidRPr="003E023F">
        <w:rPr>
          <w:szCs w:val="24"/>
        </w:rPr>
        <w:t>-</w:t>
      </w:r>
      <w:r w:rsidRPr="003E023F">
        <w:rPr>
          <w:i/>
          <w:szCs w:val="24"/>
        </w:rPr>
        <w:t>koinonia</w:t>
      </w:r>
      <w:r w:rsidRPr="003E023F">
        <w:rPr>
          <w:szCs w:val="24"/>
        </w:rPr>
        <w:t xml:space="preserve"> nu este niciodată parţială sau incompletă, ci îmbrăţişează plenitudinea Bisericii, în toate aspectele, dimensiunile şi manifestările sale. Implică integralitate, plinătate şi </w:t>
      </w:r>
      <w:r w:rsidRPr="003E023F">
        <w:rPr>
          <w:i/>
          <w:szCs w:val="24"/>
        </w:rPr>
        <w:t>sobornicitate.</w:t>
      </w:r>
      <w:r w:rsidRPr="003E023F">
        <w:rPr>
          <w:szCs w:val="24"/>
        </w:rPr>
        <w:t xml:space="preserve"> O biserică locală nu </w:t>
      </w:r>
      <w:r w:rsidRPr="003E023F">
        <w:rPr>
          <w:szCs w:val="24"/>
        </w:rPr>
        <w:lastRenderedPageBreak/>
        <w:t xml:space="preserve">este o parte a </w:t>
      </w:r>
      <w:r w:rsidRPr="003E023F">
        <w:rPr>
          <w:i/>
          <w:szCs w:val="24"/>
        </w:rPr>
        <w:t>koinoniei</w:t>
      </w:r>
      <w:r w:rsidRPr="003E023F">
        <w:rPr>
          <w:szCs w:val="24"/>
        </w:rPr>
        <w:t xml:space="preserve">, este manifestarea sa deplină într-un loc anume. În ea este prezentă Biserica cea una, sfântă, sobornicească şi apostolească. Catholicitatea </w:t>
      </w:r>
      <w:r w:rsidRPr="003E023F">
        <w:rPr>
          <w:i/>
          <w:szCs w:val="24"/>
        </w:rPr>
        <w:t xml:space="preserve">koinoniei </w:t>
      </w:r>
      <w:r w:rsidRPr="003E023F">
        <w:rPr>
          <w:szCs w:val="24"/>
        </w:rPr>
        <w:t>nu se referă doar la extensiunea sa geo</w:t>
      </w:r>
      <w:r>
        <w:rPr>
          <w:szCs w:val="24"/>
        </w:rPr>
        <w:t>grafică, ci şi la diversitatea B</w:t>
      </w:r>
      <w:r w:rsidRPr="003E023F">
        <w:rPr>
          <w:szCs w:val="24"/>
        </w:rPr>
        <w:t xml:space="preserve">isericilor locale şi la participarea lor la unica </w:t>
      </w:r>
      <w:r w:rsidRPr="003E023F">
        <w:rPr>
          <w:i/>
          <w:szCs w:val="24"/>
        </w:rPr>
        <w:t>koinonia.</w:t>
      </w:r>
    </w:p>
    <w:p w:rsidR="00572744" w:rsidRPr="003E023F" w:rsidRDefault="00572744" w:rsidP="00572744">
      <w:pPr>
        <w:tabs>
          <w:tab w:val="left" w:pos="1418"/>
        </w:tabs>
        <w:ind w:left="-1350" w:right="-990" w:firstLine="851"/>
        <w:jc w:val="both"/>
        <w:rPr>
          <w:szCs w:val="24"/>
        </w:rPr>
      </w:pPr>
      <w:r w:rsidRPr="003E023F">
        <w:rPr>
          <w:i/>
          <w:szCs w:val="24"/>
        </w:rPr>
        <w:t xml:space="preserve">-koinonia </w:t>
      </w:r>
      <w:r w:rsidRPr="003E023F">
        <w:rPr>
          <w:szCs w:val="24"/>
        </w:rPr>
        <w:t xml:space="preserve">înseamnă integritate şi fidelitate faţă de o </w:t>
      </w:r>
      <w:r w:rsidRPr="003E023F">
        <w:rPr>
          <w:i/>
          <w:szCs w:val="24"/>
        </w:rPr>
        <w:t>tradiţie ecumenică</w:t>
      </w:r>
      <w:r w:rsidRPr="003E023F">
        <w:rPr>
          <w:szCs w:val="24"/>
        </w:rPr>
        <w:t xml:space="preserve"> ce aparţine tuturor într-o diversitate de expresii</w:t>
      </w:r>
      <w:r w:rsidRPr="003E023F">
        <w:rPr>
          <w:rStyle w:val="FootnoteReference"/>
          <w:szCs w:val="24"/>
        </w:rPr>
        <w:footnoteReference w:id="96"/>
      </w:r>
      <w:r w:rsidRPr="003E023F">
        <w:rPr>
          <w:szCs w:val="24"/>
        </w:rPr>
        <w:t>.</w:t>
      </w:r>
    </w:p>
    <w:p w:rsidR="00572744" w:rsidRPr="003E023F" w:rsidRDefault="00572744" w:rsidP="00572744">
      <w:pPr>
        <w:tabs>
          <w:tab w:val="left" w:pos="1418"/>
        </w:tabs>
        <w:ind w:left="-1350" w:right="-990" w:firstLine="851"/>
        <w:jc w:val="both"/>
        <w:rPr>
          <w:szCs w:val="24"/>
        </w:rPr>
      </w:pPr>
      <w:r w:rsidRPr="003E023F">
        <w:rPr>
          <w:szCs w:val="24"/>
        </w:rPr>
        <w:t>-</w:t>
      </w:r>
      <w:r w:rsidRPr="003E023F">
        <w:rPr>
          <w:i/>
          <w:szCs w:val="24"/>
        </w:rPr>
        <w:t xml:space="preserve">koinonia </w:t>
      </w:r>
      <w:r w:rsidRPr="003E023F">
        <w:rPr>
          <w:szCs w:val="24"/>
        </w:rPr>
        <w:t xml:space="preserve">este o realitate concretă. Biserica este o </w:t>
      </w:r>
      <w:r w:rsidRPr="003E023F">
        <w:rPr>
          <w:i/>
          <w:szCs w:val="24"/>
        </w:rPr>
        <w:t xml:space="preserve">koinonia </w:t>
      </w:r>
      <w:r w:rsidRPr="003E023F">
        <w:rPr>
          <w:szCs w:val="24"/>
        </w:rPr>
        <w:t xml:space="preserve">în fiecare şi în toate locurile şi timpurile. Se manifestă atât local, cât şi universal. Biserica este o </w:t>
      </w:r>
      <w:r w:rsidRPr="003E023F">
        <w:rPr>
          <w:i/>
          <w:szCs w:val="24"/>
        </w:rPr>
        <w:t xml:space="preserve">koinonia </w:t>
      </w:r>
      <w:r>
        <w:rPr>
          <w:szCs w:val="24"/>
        </w:rPr>
        <w:t>conciliară de B</w:t>
      </w:r>
      <w:r w:rsidRPr="003E023F">
        <w:rPr>
          <w:szCs w:val="24"/>
        </w:rPr>
        <w:t>iserici locale, fără un centru geografic sau administrativ.</w:t>
      </w:r>
    </w:p>
    <w:p w:rsidR="00572744" w:rsidRPr="003E023F" w:rsidRDefault="00572744" w:rsidP="00572744">
      <w:pPr>
        <w:tabs>
          <w:tab w:val="left" w:pos="1418"/>
        </w:tabs>
        <w:ind w:left="-1350" w:right="-990" w:firstLine="851"/>
        <w:jc w:val="both"/>
        <w:rPr>
          <w:szCs w:val="24"/>
        </w:rPr>
      </w:pPr>
      <w:r w:rsidRPr="003E023F">
        <w:rPr>
          <w:szCs w:val="24"/>
        </w:rPr>
        <w:t xml:space="preserve">-chiar dacă este o realitate prezentă aici şi acum, </w:t>
      </w:r>
      <w:r w:rsidRPr="003E023F">
        <w:rPr>
          <w:i/>
          <w:szCs w:val="24"/>
        </w:rPr>
        <w:t>koinonia</w:t>
      </w:r>
      <w:r w:rsidRPr="003E023F">
        <w:rPr>
          <w:szCs w:val="24"/>
        </w:rPr>
        <w:t xml:space="preserve"> are şi o dimensiune eshatologică, doar în </w:t>
      </w:r>
      <w:r w:rsidRPr="003E023F">
        <w:rPr>
          <w:i/>
          <w:szCs w:val="24"/>
        </w:rPr>
        <w:t>eshaton</w:t>
      </w:r>
      <w:r w:rsidRPr="003E023F">
        <w:rPr>
          <w:szCs w:val="24"/>
        </w:rPr>
        <w:t xml:space="preserve"> se va realiza plenar (</w:t>
      </w:r>
      <w:r w:rsidRPr="003E023F">
        <w:rPr>
          <w:i/>
          <w:szCs w:val="24"/>
        </w:rPr>
        <w:t>1Cor</w:t>
      </w:r>
      <w:r w:rsidRPr="003E023F">
        <w:rPr>
          <w:szCs w:val="24"/>
        </w:rPr>
        <w:t xml:space="preserve">.9,23; </w:t>
      </w:r>
      <w:r w:rsidRPr="003E023F">
        <w:rPr>
          <w:i/>
          <w:szCs w:val="24"/>
        </w:rPr>
        <w:t>1In</w:t>
      </w:r>
      <w:r w:rsidRPr="003E023F">
        <w:rPr>
          <w:szCs w:val="24"/>
        </w:rPr>
        <w:t xml:space="preserve">. 3,2). Prin urmare, </w:t>
      </w:r>
      <w:r w:rsidRPr="003E023F">
        <w:rPr>
          <w:i/>
          <w:szCs w:val="24"/>
        </w:rPr>
        <w:t xml:space="preserve">koinonia </w:t>
      </w:r>
      <w:r w:rsidRPr="003E023F">
        <w:rPr>
          <w:szCs w:val="24"/>
        </w:rPr>
        <w:t>este o realitate care se dezvoltă mereu</w:t>
      </w:r>
      <w:r w:rsidRPr="003E023F">
        <w:rPr>
          <w:rStyle w:val="FootnoteReference"/>
          <w:szCs w:val="24"/>
        </w:rPr>
        <w:footnoteReference w:id="97"/>
      </w:r>
      <w:r w:rsidRPr="003E023F">
        <w:rPr>
          <w:szCs w:val="24"/>
        </w:rPr>
        <w:t>.</w:t>
      </w:r>
    </w:p>
    <w:p w:rsidR="00572744" w:rsidRPr="003E023F" w:rsidRDefault="00572744" w:rsidP="00572744">
      <w:pPr>
        <w:tabs>
          <w:tab w:val="left" w:pos="1418"/>
        </w:tabs>
        <w:ind w:left="-1350" w:right="-990" w:firstLine="851"/>
        <w:jc w:val="both"/>
        <w:rPr>
          <w:szCs w:val="24"/>
        </w:rPr>
      </w:pPr>
      <w:r w:rsidRPr="003E023F">
        <w:rPr>
          <w:szCs w:val="24"/>
        </w:rPr>
        <w:t xml:space="preserve">Teologia contemporană se referă la </w:t>
      </w:r>
      <w:r w:rsidRPr="003E023F">
        <w:rPr>
          <w:i/>
          <w:szCs w:val="24"/>
        </w:rPr>
        <w:t xml:space="preserve">koinonia </w:t>
      </w:r>
      <w:r w:rsidRPr="003E023F">
        <w:rPr>
          <w:szCs w:val="24"/>
        </w:rPr>
        <w:t>atunci când foloseşte expresia „eclesiologia comuniunii”, aceasta devenind o temă centrală şi o abordare aproape ireversibilă pentru orice eclesiologie</w:t>
      </w:r>
      <w:r w:rsidRPr="003E023F">
        <w:rPr>
          <w:rStyle w:val="FootnoteReference"/>
          <w:szCs w:val="24"/>
        </w:rPr>
        <w:footnoteReference w:id="98"/>
      </w:r>
      <w:r w:rsidRPr="003E023F">
        <w:rPr>
          <w:szCs w:val="24"/>
        </w:rPr>
        <w:t>. A fost un corectiv la Vatican II pentru o înţelegere “piramidală” a Bisericii, şi este o perspectivă ecumenică de bază în dialogurile bilaterale. După diferite stadii cum ar fi: “chemarea la unitate” (</w:t>
      </w:r>
      <w:r w:rsidRPr="003E023F">
        <w:rPr>
          <w:i/>
          <w:szCs w:val="24"/>
        </w:rPr>
        <w:t>call to unity</w:t>
      </w:r>
      <w:r w:rsidRPr="003E023F">
        <w:rPr>
          <w:szCs w:val="24"/>
        </w:rPr>
        <w:t>), “căutând unitatea” (</w:t>
      </w:r>
      <w:r w:rsidRPr="003E023F">
        <w:rPr>
          <w:i/>
          <w:szCs w:val="24"/>
        </w:rPr>
        <w:t>seeking</w:t>
      </w:r>
      <w:r w:rsidRPr="003E023F">
        <w:rPr>
          <w:szCs w:val="24"/>
        </w:rPr>
        <w:t xml:space="preserve"> </w:t>
      </w:r>
      <w:r w:rsidRPr="003E023F">
        <w:rPr>
          <w:i/>
          <w:szCs w:val="24"/>
        </w:rPr>
        <w:t>unity</w:t>
      </w:r>
      <w:r w:rsidRPr="003E023F">
        <w:rPr>
          <w:szCs w:val="24"/>
        </w:rPr>
        <w:t>), “modele ale unităţii” (</w:t>
      </w:r>
      <w:r w:rsidRPr="003E023F">
        <w:rPr>
          <w:i/>
          <w:szCs w:val="24"/>
        </w:rPr>
        <w:t>models</w:t>
      </w:r>
      <w:r w:rsidRPr="003E023F">
        <w:rPr>
          <w:szCs w:val="24"/>
        </w:rPr>
        <w:t xml:space="preserve"> </w:t>
      </w:r>
      <w:r w:rsidRPr="003E023F">
        <w:rPr>
          <w:i/>
          <w:szCs w:val="24"/>
        </w:rPr>
        <w:t>of</w:t>
      </w:r>
      <w:r w:rsidRPr="003E023F">
        <w:rPr>
          <w:szCs w:val="24"/>
        </w:rPr>
        <w:t xml:space="preserve"> </w:t>
      </w:r>
      <w:r w:rsidRPr="003E023F">
        <w:rPr>
          <w:i/>
          <w:szCs w:val="24"/>
        </w:rPr>
        <w:t>unity</w:t>
      </w:r>
      <w:r w:rsidRPr="003E023F">
        <w:rPr>
          <w:szCs w:val="24"/>
        </w:rPr>
        <w:t>), “natura unităţii” (</w:t>
      </w:r>
      <w:r w:rsidRPr="003E023F">
        <w:rPr>
          <w:i/>
          <w:szCs w:val="24"/>
        </w:rPr>
        <w:t>nature</w:t>
      </w:r>
      <w:r w:rsidRPr="003E023F">
        <w:rPr>
          <w:szCs w:val="24"/>
        </w:rPr>
        <w:t xml:space="preserve"> </w:t>
      </w:r>
      <w:r w:rsidRPr="003E023F">
        <w:rPr>
          <w:i/>
          <w:szCs w:val="24"/>
        </w:rPr>
        <w:t>of</w:t>
      </w:r>
      <w:r w:rsidRPr="003E023F">
        <w:rPr>
          <w:szCs w:val="24"/>
        </w:rPr>
        <w:t xml:space="preserve"> </w:t>
      </w:r>
      <w:r w:rsidRPr="003E023F">
        <w:rPr>
          <w:i/>
          <w:szCs w:val="24"/>
        </w:rPr>
        <w:t>unity</w:t>
      </w:r>
      <w:r w:rsidRPr="003E023F">
        <w:rPr>
          <w:szCs w:val="24"/>
        </w:rPr>
        <w:t>),  “făcând paşi spre unitate” (</w:t>
      </w:r>
      <w:r w:rsidRPr="003E023F">
        <w:rPr>
          <w:i/>
          <w:szCs w:val="24"/>
        </w:rPr>
        <w:t>taking</w:t>
      </w:r>
      <w:r w:rsidRPr="003E023F">
        <w:rPr>
          <w:szCs w:val="24"/>
        </w:rPr>
        <w:t xml:space="preserve"> </w:t>
      </w:r>
      <w:r w:rsidRPr="003E023F">
        <w:rPr>
          <w:i/>
          <w:szCs w:val="24"/>
        </w:rPr>
        <w:t>steps</w:t>
      </w:r>
      <w:r w:rsidRPr="003E023F">
        <w:rPr>
          <w:szCs w:val="24"/>
        </w:rPr>
        <w:t xml:space="preserve"> </w:t>
      </w:r>
      <w:r w:rsidRPr="003E023F">
        <w:rPr>
          <w:i/>
          <w:szCs w:val="24"/>
        </w:rPr>
        <w:t>towards</w:t>
      </w:r>
      <w:r w:rsidRPr="003E023F">
        <w:rPr>
          <w:szCs w:val="24"/>
        </w:rPr>
        <w:t xml:space="preserve"> </w:t>
      </w:r>
      <w:r w:rsidRPr="003E023F">
        <w:rPr>
          <w:i/>
          <w:szCs w:val="24"/>
        </w:rPr>
        <w:t>unity</w:t>
      </w:r>
      <w:r w:rsidRPr="003E023F">
        <w:rPr>
          <w:szCs w:val="24"/>
        </w:rPr>
        <w:t xml:space="preserve">), la cea de a şaptea Adunare Generală a Consiliului Ecumenic al Bisericilor de la Canberra s-a declarat: “Unitatea Bisericii la care suntem chemaţi este o </w:t>
      </w:r>
      <w:r w:rsidRPr="003E023F">
        <w:rPr>
          <w:i/>
          <w:szCs w:val="24"/>
        </w:rPr>
        <w:t>koinonia</w:t>
      </w:r>
      <w:r w:rsidRPr="003E023F">
        <w:rPr>
          <w:szCs w:val="24"/>
        </w:rPr>
        <w:t>”</w:t>
      </w:r>
      <w:r w:rsidRPr="003E023F">
        <w:rPr>
          <w:rStyle w:val="FootnoteReference"/>
          <w:szCs w:val="24"/>
        </w:rPr>
        <w:footnoteReference w:id="99"/>
      </w:r>
      <w:r w:rsidRPr="003E023F">
        <w:rPr>
          <w:szCs w:val="24"/>
        </w:rPr>
        <w:t>, afirmaţie dezvoltată astfel: „</w:t>
      </w:r>
      <w:r w:rsidRPr="003E023F">
        <w:rPr>
          <w:i/>
          <w:szCs w:val="24"/>
        </w:rPr>
        <w:t>Koinonia</w:t>
      </w:r>
      <w:r w:rsidRPr="003E023F">
        <w:rPr>
          <w:szCs w:val="24"/>
        </w:rPr>
        <w:t xml:space="preserve"> este dată</w:t>
      </w:r>
      <w:r w:rsidRPr="003E023F">
        <w:rPr>
          <w:i/>
          <w:szCs w:val="24"/>
        </w:rPr>
        <w:t xml:space="preserve"> </w:t>
      </w:r>
      <w:r w:rsidRPr="003E023F">
        <w:rPr>
          <w:szCs w:val="24"/>
        </w:rPr>
        <w:t>şi exprimată în mărturisirea comună a credinţei apostolice; într-o viaţă sacramentală comună inaugurată printr-</w:t>
      </w:r>
      <w:r w:rsidRPr="003E023F">
        <w:rPr>
          <w:i/>
          <w:szCs w:val="24"/>
        </w:rPr>
        <w:t>un</w:t>
      </w:r>
      <w:r w:rsidRPr="003E023F">
        <w:rPr>
          <w:b/>
          <w:szCs w:val="24"/>
        </w:rPr>
        <w:t xml:space="preserve"> </w:t>
      </w:r>
      <w:r w:rsidRPr="003E023F">
        <w:rPr>
          <w:szCs w:val="24"/>
        </w:rPr>
        <w:t>Botez şi celebrată împreună printr-</w:t>
      </w:r>
      <w:r w:rsidRPr="003E023F">
        <w:rPr>
          <w:i/>
          <w:szCs w:val="24"/>
        </w:rPr>
        <w:t>o</w:t>
      </w:r>
      <w:r w:rsidRPr="003E023F">
        <w:rPr>
          <w:szCs w:val="24"/>
        </w:rPr>
        <w:t xml:space="preserve"> comuniune euharistică; în viaţa comunitară în care credincioşii şi slujitorii se recunosc reciproc şi sunt împăcaţi; şi într-o misiune comună mărturusind Evanghelia harului lui Dumnezeu pentru tot poporul şi slujind întreaga creaţie”</w:t>
      </w:r>
      <w:r w:rsidRPr="003E023F">
        <w:rPr>
          <w:rStyle w:val="FootnoteReference"/>
          <w:szCs w:val="24"/>
        </w:rPr>
        <w:footnoteReference w:id="100"/>
      </w:r>
      <w:r w:rsidRPr="003E023F">
        <w:rPr>
          <w:szCs w:val="24"/>
        </w:rPr>
        <w:t xml:space="preserve">. </w:t>
      </w:r>
    </w:p>
    <w:p w:rsidR="00572744" w:rsidRPr="003E023F" w:rsidRDefault="00572744" w:rsidP="00572744">
      <w:pPr>
        <w:tabs>
          <w:tab w:val="left" w:pos="1418"/>
        </w:tabs>
        <w:ind w:left="-1350" w:right="-990" w:firstLine="851"/>
        <w:jc w:val="both"/>
        <w:rPr>
          <w:szCs w:val="24"/>
        </w:rPr>
      </w:pPr>
      <w:r w:rsidRPr="003E023F">
        <w:rPr>
          <w:szCs w:val="24"/>
        </w:rPr>
        <w:t xml:space="preserve">În continuarea studiului în discuţie autorul tratează despre: </w:t>
      </w:r>
      <w:r w:rsidRPr="003E023F">
        <w:rPr>
          <w:i/>
          <w:szCs w:val="24"/>
        </w:rPr>
        <w:t xml:space="preserve">koinonia </w:t>
      </w:r>
      <w:r w:rsidRPr="003E023F">
        <w:rPr>
          <w:szCs w:val="24"/>
        </w:rPr>
        <w:t>credinţei,</w:t>
      </w:r>
      <w:r w:rsidRPr="003E023F">
        <w:rPr>
          <w:i/>
          <w:szCs w:val="24"/>
        </w:rPr>
        <w:t xml:space="preserve">  koinonia </w:t>
      </w:r>
      <w:r w:rsidRPr="003E023F">
        <w:rPr>
          <w:szCs w:val="24"/>
        </w:rPr>
        <w:t>euharistică şi</w:t>
      </w:r>
      <w:r w:rsidRPr="003E023F">
        <w:rPr>
          <w:i/>
          <w:szCs w:val="24"/>
        </w:rPr>
        <w:t xml:space="preserve">  koinonia </w:t>
      </w:r>
      <w:r w:rsidRPr="003E023F">
        <w:rPr>
          <w:szCs w:val="24"/>
        </w:rPr>
        <w:t>conciliară, o biserică locală menţinându-şi ecclesialitatea şi catholicitatea în r</w:t>
      </w:r>
      <w:r>
        <w:rPr>
          <w:szCs w:val="24"/>
        </w:rPr>
        <w:t>elaţie conciliară cu celelalte B</w:t>
      </w:r>
      <w:r w:rsidRPr="003E023F">
        <w:rPr>
          <w:szCs w:val="24"/>
        </w:rPr>
        <w:t xml:space="preserve">iserici locale. </w:t>
      </w:r>
      <w:r w:rsidRPr="003E023F">
        <w:rPr>
          <w:i/>
          <w:szCs w:val="24"/>
        </w:rPr>
        <w:t xml:space="preserve">Communio ecclesiarum </w:t>
      </w:r>
      <w:r w:rsidRPr="003E023F">
        <w:rPr>
          <w:szCs w:val="24"/>
        </w:rPr>
        <w:t xml:space="preserve">exprimă natura reală a Bisericii. De fapt Biserica universală nu este  o organizaţie mondială, ci o </w:t>
      </w:r>
      <w:r w:rsidRPr="003E023F">
        <w:rPr>
          <w:i/>
          <w:szCs w:val="24"/>
        </w:rPr>
        <w:t>koinonia</w:t>
      </w:r>
      <w:r>
        <w:rPr>
          <w:szCs w:val="24"/>
        </w:rPr>
        <w:t xml:space="preserve"> de B</w:t>
      </w:r>
      <w:r w:rsidRPr="003E023F">
        <w:rPr>
          <w:szCs w:val="24"/>
        </w:rPr>
        <w:t>iserici locale unite în mod real.</w:t>
      </w:r>
    </w:p>
    <w:p w:rsidR="00572744" w:rsidRPr="00AA3214" w:rsidRDefault="00572744" w:rsidP="00572744">
      <w:pPr>
        <w:ind w:left="-1350" w:right="-990"/>
        <w:jc w:val="both"/>
        <w:rPr>
          <w:i/>
          <w:szCs w:val="24"/>
        </w:rPr>
      </w:pPr>
    </w:p>
    <w:p w:rsidR="00572744" w:rsidRPr="00AA3214" w:rsidRDefault="00572744" w:rsidP="00572744">
      <w:pPr>
        <w:ind w:left="-1350" w:right="-990"/>
        <w:jc w:val="both"/>
        <w:rPr>
          <w:b/>
          <w:i/>
          <w:szCs w:val="24"/>
        </w:rPr>
      </w:pPr>
      <w:r w:rsidRPr="00AA3214">
        <w:rPr>
          <w:i/>
          <w:szCs w:val="24"/>
        </w:rPr>
        <w:t>C. Frângerea pâinii - Taina unităţii eclesiale</w:t>
      </w:r>
    </w:p>
    <w:p w:rsidR="00572744" w:rsidRPr="00AA3214" w:rsidRDefault="00572744" w:rsidP="00572744">
      <w:pPr>
        <w:tabs>
          <w:tab w:val="left" w:pos="1418"/>
        </w:tabs>
        <w:ind w:left="-1350" w:right="-990" w:firstLine="851"/>
        <w:jc w:val="both"/>
        <w:rPr>
          <w:b/>
          <w:i/>
          <w:szCs w:val="24"/>
        </w:rPr>
      </w:pPr>
    </w:p>
    <w:p w:rsidR="00572744" w:rsidRPr="003E023F" w:rsidRDefault="00572744" w:rsidP="00572744">
      <w:pPr>
        <w:tabs>
          <w:tab w:val="left" w:pos="1418"/>
        </w:tabs>
        <w:ind w:left="-1350" w:right="-990" w:firstLine="851"/>
        <w:jc w:val="both"/>
        <w:rPr>
          <w:szCs w:val="24"/>
        </w:rPr>
      </w:pPr>
      <w:r w:rsidRPr="003E023F">
        <w:rPr>
          <w:szCs w:val="24"/>
        </w:rPr>
        <w:t>Sfânta Euharistie a constituit de la început centrul cultului creştin, prezenţa reală a Domnului Iisus Hristos, fiind reliefată prin înseşi cuvintele de instituire: „</w:t>
      </w:r>
      <w:r w:rsidRPr="003E023F">
        <w:rPr>
          <w:i/>
          <w:szCs w:val="24"/>
        </w:rPr>
        <w:t xml:space="preserve">Acesta </w:t>
      </w:r>
      <w:r w:rsidRPr="003E023F">
        <w:rPr>
          <w:b/>
          <w:i/>
          <w:szCs w:val="24"/>
        </w:rPr>
        <w:t>este</w:t>
      </w:r>
      <w:r w:rsidRPr="003E023F">
        <w:rPr>
          <w:b/>
          <w:szCs w:val="24"/>
        </w:rPr>
        <w:t xml:space="preserve"> </w:t>
      </w:r>
      <w:r w:rsidRPr="003E023F">
        <w:rPr>
          <w:i/>
          <w:szCs w:val="24"/>
        </w:rPr>
        <w:t>Trupul Meu”, „Acesta</w:t>
      </w:r>
      <w:r w:rsidRPr="003E023F">
        <w:rPr>
          <w:szCs w:val="24"/>
        </w:rPr>
        <w:t xml:space="preserve"> </w:t>
      </w:r>
      <w:r w:rsidRPr="003E023F">
        <w:rPr>
          <w:b/>
          <w:i/>
          <w:szCs w:val="24"/>
        </w:rPr>
        <w:t xml:space="preserve">este </w:t>
      </w:r>
      <w:r w:rsidRPr="003E023F">
        <w:rPr>
          <w:i/>
          <w:szCs w:val="24"/>
        </w:rPr>
        <w:t>Sângele Meu”.</w:t>
      </w:r>
      <w:r w:rsidRPr="003E023F">
        <w:rPr>
          <w:szCs w:val="24"/>
        </w:rPr>
        <w:t xml:space="preserve"> La Cina cea de Taină, Mântuitorul a trăit mistic anticipat Jertfa Sa de a doua zi. Apostolii s-au împărtăşit atunci prima dată, acesta rămânând modul desărşitei uniri cu Hristos. Cei doi ucenici au mers spre Emaus împreună cu Iisus Cel înviat, dar, cu toate că le-a vorbit, le-a explicat sensul slujirii mesianice, nu L-au recunoscut decât după ce s-au împărtăşit: “ (</w:t>
      </w:r>
      <w:r w:rsidRPr="003E023F">
        <w:rPr>
          <w:i/>
          <w:szCs w:val="24"/>
        </w:rPr>
        <w:t>…</w:t>
      </w:r>
      <w:r w:rsidRPr="003E023F">
        <w:rPr>
          <w:szCs w:val="24"/>
        </w:rPr>
        <w:t xml:space="preserve">) </w:t>
      </w:r>
      <w:r w:rsidRPr="003E023F">
        <w:rPr>
          <w:i/>
          <w:szCs w:val="24"/>
        </w:rPr>
        <w:t>luând pâinea a binecuvântat şi frângând</w:t>
      </w:r>
      <w:r w:rsidRPr="003E023F">
        <w:rPr>
          <w:szCs w:val="24"/>
        </w:rPr>
        <w:t xml:space="preserve">, </w:t>
      </w:r>
      <w:r w:rsidRPr="003E023F">
        <w:rPr>
          <w:i/>
          <w:szCs w:val="24"/>
        </w:rPr>
        <w:t>le-a dat. Şi s-au deschis ochii lor şi L-au cunoscut; dar El li S-a făcut nevăzut”(Lc.</w:t>
      </w:r>
      <w:r w:rsidRPr="003E023F">
        <w:rPr>
          <w:szCs w:val="24"/>
        </w:rPr>
        <w:t>24,30-31</w:t>
      </w:r>
      <w:r w:rsidRPr="003E023F">
        <w:rPr>
          <w:i/>
          <w:szCs w:val="24"/>
        </w:rPr>
        <w:t>).</w:t>
      </w:r>
      <w:r w:rsidRPr="003E023F">
        <w:rPr>
          <w:szCs w:val="24"/>
        </w:rPr>
        <w:t xml:space="preserve"> Cei doi Îl căutau pe Hristos istoric şi dintr-o dată li Se descoperă Cel euharistic. </w:t>
      </w:r>
    </w:p>
    <w:p w:rsidR="00572744" w:rsidRPr="003E023F" w:rsidRDefault="00572744" w:rsidP="00572744">
      <w:pPr>
        <w:tabs>
          <w:tab w:val="left" w:pos="1418"/>
        </w:tabs>
        <w:ind w:left="-1350" w:right="-990" w:firstLine="851"/>
        <w:jc w:val="both"/>
        <w:rPr>
          <w:i/>
          <w:szCs w:val="24"/>
        </w:rPr>
      </w:pPr>
      <w:r w:rsidRPr="003E023F">
        <w:rPr>
          <w:szCs w:val="24"/>
        </w:rPr>
        <w:lastRenderedPageBreak/>
        <w:t>Caracterul anamnetic, de jertfă şi de taină al Euharistiei a fost înţeles de creştini de la început, aşa cum reiese din cuvintele Sfântului Apostol Pavel: „</w:t>
      </w:r>
      <w:r w:rsidRPr="003E023F">
        <w:rPr>
          <w:i/>
          <w:szCs w:val="24"/>
        </w:rPr>
        <w:t>Fiindcă de câte ori veţi mânca pâinea aceasta şi veţi bea paharul acesta, moartea Domnului vestiţi până când El va veni. Astfel, oricine va mânca pâinea sau va bea paharul Domnului cu nevrednicie, vinovat va fi faţă de Trupul şi de Sângele Domnului. Să se cerceteze omul pe sine şi aşa să mănânce din Pâine şi să bea din Pahar. Căci cel ce mănâncă şi bea cu nevrednicie, osândă îşi mănâncă şi bea, nesocotind Trupul Domnului. Pentru aceasta sunt mulţi dintre voi neputincioşi şi bolnavi şi mulţi au murit. Căci de ne-am fi judecat noi înşine, nu am mai fi judecaţi”(1Cor.</w:t>
      </w:r>
      <w:r w:rsidRPr="003E023F">
        <w:rPr>
          <w:szCs w:val="24"/>
        </w:rPr>
        <w:t>11,26-31</w:t>
      </w:r>
      <w:r w:rsidRPr="003E023F">
        <w:rPr>
          <w:i/>
          <w:szCs w:val="24"/>
        </w:rPr>
        <w:t>).</w:t>
      </w:r>
    </w:p>
    <w:p w:rsidR="00572744" w:rsidRPr="003E023F" w:rsidRDefault="00572744" w:rsidP="00572744">
      <w:pPr>
        <w:tabs>
          <w:tab w:val="left" w:pos="1418"/>
        </w:tabs>
        <w:ind w:left="-1350" w:right="-990" w:firstLine="851"/>
        <w:jc w:val="both"/>
        <w:rPr>
          <w:i/>
          <w:szCs w:val="24"/>
        </w:rPr>
      </w:pPr>
      <w:r w:rsidRPr="003E023F">
        <w:rPr>
          <w:szCs w:val="24"/>
        </w:rPr>
        <w:t xml:space="preserve"> Ne împărtăşim cu Trupul şi Sângele Domnului, cu firea Sa umană pe care a asumat-o din Preacurata Fecioara Maria, şi pe care a îndumnezeit-o prin întrupare, viaţa de ascultare, patimi, răstignire, moarte, înviere şi înălţare. Dar în momentul zămislirii, când Fecioara a rostit „</w:t>
      </w:r>
      <w:r w:rsidRPr="003E023F">
        <w:rPr>
          <w:i/>
          <w:szCs w:val="24"/>
        </w:rPr>
        <w:t>fiat”,</w:t>
      </w:r>
      <w:r w:rsidRPr="003E023F">
        <w:rPr>
          <w:szCs w:val="24"/>
        </w:rPr>
        <w:t xml:space="preserve"> firea Sa dumnezeiască S-a unit cu cea omenească în mod </w:t>
      </w:r>
      <w:r w:rsidRPr="003E023F">
        <w:rPr>
          <w:i/>
          <w:szCs w:val="24"/>
        </w:rPr>
        <w:t>neîmpărţit şi nedespărţit, neamestecat şi neschimbat</w:t>
      </w:r>
      <w:r w:rsidRPr="003E023F">
        <w:rPr>
          <w:szCs w:val="24"/>
        </w:rPr>
        <w:t>, deci firea Sa dumnezeiască nu se mai desparte vreodată de cea omenească, dimpotrivă, El S-a înălţat la ceruri cu firea Sa umană în care ne-a cuprins virtual pe toţi, fiind şi Noul Adam, şi cum cele două naturi nu pot exista de sine, ci sunt ipostaziate de o sigură persoana, cea a Fiului lui Dumnezeu, înţelegem că în Sfânta Euharistie este prezentă mistic-sacramental şi firea  dumnezeiască a Mântuitorului, de aceea o numim:</w:t>
      </w:r>
      <w:r w:rsidRPr="003E023F">
        <w:rPr>
          <w:i/>
          <w:szCs w:val="24"/>
        </w:rPr>
        <w:t xml:space="preserve"> dumnezeiasca Euharistie,</w:t>
      </w:r>
      <w:r w:rsidRPr="003E023F">
        <w:rPr>
          <w:szCs w:val="24"/>
        </w:rPr>
        <w:t xml:space="preserve"> şi Persoana cea unică, prin urmare mărturisim că ne împărtăşim </w:t>
      </w:r>
      <w:r w:rsidRPr="003E023F">
        <w:rPr>
          <w:i/>
          <w:szCs w:val="24"/>
        </w:rPr>
        <w:t>cu Hristos</w:t>
      </w:r>
      <w:r w:rsidRPr="003E023F">
        <w:rPr>
          <w:szCs w:val="24"/>
        </w:rPr>
        <w:t>, ne unim cu El. De aceea spune Sfântul Apostol Petru: “</w:t>
      </w:r>
      <w:r w:rsidRPr="003E023F">
        <w:rPr>
          <w:i/>
          <w:szCs w:val="24"/>
        </w:rPr>
        <w:t>Cu dumnezeiasca Lui putere, ne-a dăruit toate cele ce sunt spre viaţă şi evlavie, făcându-ne să-L cunoaştem pe Cel Ce ne-a chemat prin propria lui slavă şi prin vârtutea Sa, prin care ne-a dăruit preţioase şi foarte mari făgăduinţe pentru ca, scăpaţi fiind voi de stricăciunea poftei care e în lume, să deveniţi</w:t>
      </w:r>
      <w:r w:rsidRPr="003E023F">
        <w:rPr>
          <w:b/>
          <w:i/>
          <w:szCs w:val="24"/>
        </w:rPr>
        <w:t xml:space="preserve"> </w:t>
      </w:r>
      <w:r w:rsidRPr="003E023F">
        <w:rPr>
          <w:i/>
          <w:szCs w:val="24"/>
        </w:rPr>
        <w:t>părtaşi ai firii celei dumnezeieşti</w:t>
      </w:r>
      <w:r w:rsidRPr="003E023F">
        <w:rPr>
          <w:b/>
          <w:i/>
          <w:szCs w:val="24"/>
        </w:rPr>
        <w:t xml:space="preserve"> - </w:t>
      </w:r>
      <w:r w:rsidRPr="003E023F">
        <w:rPr>
          <w:i/>
          <w:szCs w:val="24"/>
        </w:rPr>
        <w:t>ghenesthe theias koinonoi physeos,  efficiamini divinae consortes naturae”(2Pt</w:t>
      </w:r>
      <w:r w:rsidRPr="003E023F">
        <w:rPr>
          <w:szCs w:val="24"/>
        </w:rPr>
        <w:t>.1,3-4</w:t>
      </w:r>
      <w:r w:rsidRPr="003E023F">
        <w:rPr>
          <w:i/>
          <w:szCs w:val="24"/>
        </w:rPr>
        <w:t>)</w:t>
      </w:r>
      <w:r w:rsidRPr="003E023F">
        <w:rPr>
          <w:rStyle w:val="FootnoteReference"/>
          <w:szCs w:val="24"/>
        </w:rPr>
        <w:footnoteReference w:id="101"/>
      </w:r>
      <w:r w:rsidRPr="003E023F">
        <w:rPr>
          <w:szCs w:val="24"/>
        </w:rPr>
        <w:t>.</w:t>
      </w:r>
    </w:p>
    <w:p w:rsidR="00572744" w:rsidRPr="003E023F" w:rsidRDefault="00572744" w:rsidP="00572744">
      <w:pPr>
        <w:tabs>
          <w:tab w:val="left" w:pos="1418"/>
        </w:tabs>
        <w:ind w:left="-1350" w:right="-990" w:firstLine="851"/>
        <w:jc w:val="both"/>
        <w:rPr>
          <w:szCs w:val="24"/>
        </w:rPr>
      </w:pPr>
      <w:r w:rsidRPr="003E023F">
        <w:rPr>
          <w:szCs w:val="24"/>
        </w:rPr>
        <w:t xml:space="preserve">Euharistia este sursa şi suprema manifestare a </w:t>
      </w:r>
      <w:r w:rsidRPr="003E023F">
        <w:rPr>
          <w:i/>
          <w:szCs w:val="24"/>
        </w:rPr>
        <w:t>koinoniei</w:t>
      </w:r>
      <w:r w:rsidRPr="003E023F">
        <w:rPr>
          <w:szCs w:val="24"/>
        </w:rPr>
        <w:t xml:space="preserve">. Baza </w:t>
      </w:r>
      <w:r w:rsidRPr="003E023F">
        <w:rPr>
          <w:i/>
          <w:szCs w:val="24"/>
        </w:rPr>
        <w:t xml:space="preserve">koinoniei </w:t>
      </w:r>
      <w:r w:rsidRPr="003E023F">
        <w:rPr>
          <w:szCs w:val="24"/>
        </w:rPr>
        <w:t xml:space="preserve">noastre în Sfânta Treime este mărturisirea comună a credinţei Apostolilor, </w:t>
      </w:r>
      <w:r w:rsidRPr="003E023F">
        <w:rPr>
          <w:i/>
          <w:szCs w:val="24"/>
        </w:rPr>
        <w:t>koinonia</w:t>
      </w:r>
      <w:r w:rsidRPr="003E023F">
        <w:rPr>
          <w:szCs w:val="24"/>
        </w:rPr>
        <w:t xml:space="preserve"> euharistică avându-şi temeiul în </w:t>
      </w:r>
      <w:r w:rsidRPr="003E023F">
        <w:rPr>
          <w:i/>
          <w:szCs w:val="24"/>
        </w:rPr>
        <w:t>koinonia</w:t>
      </w:r>
      <w:r w:rsidRPr="003E023F">
        <w:rPr>
          <w:szCs w:val="24"/>
        </w:rPr>
        <w:t xml:space="preserve"> credinţei. Numai cei botezaţi, care împărtăşesc aceeaşi credinţă ca membrii ai aceleiaşi adunări euharistice, sunt invitaţi să participe împreună la Masa Domnului. </w:t>
      </w:r>
      <w:r w:rsidRPr="003E023F">
        <w:rPr>
          <w:i/>
          <w:szCs w:val="24"/>
        </w:rPr>
        <w:t>În Biserica primară, Euharistia nu era considerată drept mijloc de restaurare a unităţii sfărâmate, ci era semnul unei reale unităţi în credinţă</w:t>
      </w:r>
      <w:r w:rsidRPr="003E023F">
        <w:rPr>
          <w:rStyle w:val="FootnoteReference"/>
          <w:szCs w:val="24"/>
        </w:rPr>
        <w:footnoteReference w:id="102"/>
      </w:r>
      <w:r w:rsidRPr="003E023F">
        <w:rPr>
          <w:i/>
          <w:szCs w:val="24"/>
        </w:rPr>
        <w:t xml:space="preserve">. </w:t>
      </w:r>
    </w:p>
    <w:p w:rsidR="00572744" w:rsidRPr="003E023F" w:rsidRDefault="00572744" w:rsidP="00572744">
      <w:pPr>
        <w:tabs>
          <w:tab w:val="left" w:pos="1418"/>
        </w:tabs>
        <w:ind w:left="-1350" w:right="-990" w:firstLine="851"/>
        <w:jc w:val="both"/>
        <w:rPr>
          <w:szCs w:val="24"/>
        </w:rPr>
      </w:pPr>
      <w:r w:rsidRPr="003E023F">
        <w:rPr>
          <w:szCs w:val="24"/>
        </w:rPr>
        <w:t>Placide Deseille, un teolog catolic convertit la Ortodoxie, urmându-l pe Sfântul Chiril al Alexandriei, subliniază caracterul sobornicesc al încorporării noastre în Hristos: „Din moment ce fiecare creştin se identifică mistic cu Trupul slăvit al lui Hristos, prin energia Sfântului Duh de care este pătruns atunci când devine părtaş al Trupului euharistic, putem conchide că toţi credincioşii devin prin această împărtăşire «co-trupeşti» (cf.</w:t>
      </w:r>
      <w:r w:rsidRPr="003E023F">
        <w:rPr>
          <w:i/>
          <w:szCs w:val="24"/>
        </w:rPr>
        <w:t>Efes</w:t>
      </w:r>
      <w:r w:rsidRPr="003E023F">
        <w:rPr>
          <w:szCs w:val="24"/>
        </w:rPr>
        <w:t>.3,6). Şi fiindcă sufletul fiecărui credincios, cu toate însuşirile sale, este pătruns de energiile dumnezeieşti, se va statornici între toţi cei care împărtăşesc această viaţă o «unire duhovnicească», înţeleasă într-un sens extrem de realist. «Amestecându-se» cu omul, focul dumnezeiesc îl face pe acesta să biruie limitele sale individuale şi, paradoxal, îl face să acceadă la plinătatea vieţii sale personale, determinându-l să se lepede de preamărirea individualităţii sale, după pilda Persoanelor Dumnezeieşti”</w:t>
      </w:r>
      <w:r w:rsidRPr="003E023F">
        <w:rPr>
          <w:rStyle w:val="FootnoteReference"/>
          <w:szCs w:val="24"/>
        </w:rPr>
        <w:footnoteReference w:id="103"/>
      </w:r>
      <w:r w:rsidRPr="003E023F">
        <w:rPr>
          <w:szCs w:val="24"/>
        </w:rPr>
        <w:t xml:space="preserve">. Citează apoi din opera Sfântului Chiril: „Pentru ca să ne îndreptăm spre unitatea cu Dumnezeu şi totodată între noi toţi, şi să fim amestecaţi laolaltă, rămânând în acelaşi timp indivizi deosebiţi prin sufletele şi trupurile noastre, Fiul unic a rânduit, prin propria înţelepciune şi prin povaţa Tatălui, o cale. Dăruindu-le credincioşilor harul îndumnezeitor într-un singur Trup, şi anume al Său, prin cuminecare mistică, i-a făcut un singur Trup cu Sine, dar şi între ei. Cine oare i-ar putea despărţi şi îndepărta de această uniune fizică pe cei care sunt lipiţi de Hristos la a fi un singur Trup cu El? Căci dacă împărtăşim cu toţii o unică pâine, formăm cu toţii un singur Trup. Iar Hristos,cu adevărat, nu poate fi împărţit. De aceea Biserica se numeşte şi ea Trup al lui Hristos, iar noi mădulare ale ei (cf. </w:t>
      </w:r>
      <w:r w:rsidRPr="003E023F">
        <w:rPr>
          <w:i/>
          <w:szCs w:val="24"/>
        </w:rPr>
        <w:t>1Cor</w:t>
      </w:r>
      <w:r w:rsidRPr="003E023F">
        <w:rPr>
          <w:szCs w:val="24"/>
        </w:rPr>
        <w:t xml:space="preserve">.12,27). (…) Cu toate că, luaţi separat, suntem mulţi, şi că, în fiecare, Hristos face să locuiască Duhul, al Tatălui şi al Său, cu toate acestea, Duhul este </w:t>
      </w:r>
      <w:r w:rsidRPr="003E023F">
        <w:rPr>
          <w:szCs w:val="24"/>
        </w:rPr>
        <w:lastRenderedPageBreak/>
        <w:t>unul şi nedespărţit, Cel Care adună în El duhurile fiecăruia, cu toate deosebirile existenţei individuale, şi le face pe toate să apară ca făcând o singură fiinţă cu El Însuşi”</w:t>
      </w:r>
      <w:r w:rsidRPr="003E023F">
        <w:rPr>
          <w:rStyle w:val="FootnoteReference"/>
          <w:szCs w:val="24"/>
        </w:rPr>
        <w:footnoteReference w:id="104"/>
      </w:r>
      <w:r w:rsidRPr="003E023F">
        <w:rPr>
          <w:szCs w:val="24"/>
        </w:rPr>
        <w:t xml:space="preserve">. În continuare, după ce citează din mai mulţi Părinţi ai Bisericii, Placide Deseille desprinde câteva concluzii importante: „În toate [textele citate], Sfânta Euharistie, împărtăşania cu Trupul şi Sângele sfinţite ale Domnului, apare ca mijlocul predilect de a le încredinţa creştinilor, trupului şi sufletului lor, viaţa cea veşnică şi îndumnezeitoare pe care Dumnezeu, în marea Sa milă, a dorit să le-o dăruiască. </w:t>
      </w:r>
      <w:r w:rsidRPr="003E023F">
        <w:rPr>
          <w:i/>
          <w:szCs w:val="24"/>
        </w:rPr>
        <w:t>Ea constituie astfel şi Sfânta Taină a unităţii ecclesiale</w:t>
      </w:r>
      <w:r w:rsidRPr="003E023F">
        <w:rPr>
          <w:szCs w:val="24"/>
        </w:rPr>
        <w:t>: cum fiecare credincios face un singur Trup şi un singur Duh cu Hristos, toţi se topesc în unitate. Învăţătura aceasta se situează deplin pe linia eclesiologiei euharistice a Părinţilor veacului al II-lea şi al III-lea. Fiecare Biserică locală, adică fiecare grup de creştini care se adună în acelaşi loc în jurul preotului lor legiuit, pentru a săvârţi Sfânta Euharistie, nu este doar o parte a Bisericii universale, ci se identifică complet cu ea, o face prezentă în plinătatea ei, în acel loc, îndată ce rămâne în întregime fidelă credinţei propovăduite de această Biserică.</w:t>
      </w:r>
    </w:p>
    <w:p w:rsidR="00572744" w:rsidRPr="003E023F" w:rsidRDefault="00572744" w:rsidP="00572744">
      <w:pPr>
        <w:tabs>
          <w:tab w:val="left" w:pos="1418"/>
        </w:tabs>
        <w:ind w:left="-1350" w:right="-990" w:firstLine="851"/>
        <w:jc w:val="both"/>
        <w:rPr>
          <w:szCs w:val="24"/>
        </w:rPr>
      </w:pPr>
      <w:r w:rsidRPr="003E023F">
        <w:rPr>
          <w:szCs w:val="24"/>
        </w:rPr>
        <w:t>Aşa se explică de ce noţiunile de «intercomuniune» şi de «ospitalitate euharistică» au fost necunoscute Bisericii vechi, care nu le-ar fi putut găsi vreun înţeles. (…)Se poate observa cât de important era pentru Părinţi, atunci când apăreau neînţelegeri între Biserici, să identifice exact natura acestora. Era vorba de chestiuni de importanţă minoră, sau de tradiţii deosebite, dar autentice? Atunci menţinerea sau restabilirea comuniunii se impunea, fără ca vreuna dintre părţi s-o poată constrânge pe cealaltă să se plece în faţa dorinţelor sale sub ameninţarea rupturii. Dar atunci când era vorba, dimpotrivă, de chestiuni care vizau esenţa credinţei şi a Tradiţiei apostolice? În acest caz, atâta vreme cât neînţelegerile dăinuiau, separaţia rămânea cea mai dureroasă, dar, în acelaşi timp, cea mai urgentă dintre necesităţi, nu numai în numele adevărului, ci şi în cel al adevăratei iubiri de Dumnezeu şi de aproapele. Pentru Sfinţii Părinţi, tezaurul de credinţă este indivizibil, nu este cu putinţă să deosebeşti părţi fundamentale şi părţi de importanţă mai mică, asupra cărora se poate negocia. Pentru ei, întregul adevăr revelat de Dumnezeu are o importanţă de nepreţuit”</w:t>
      </w:r>
      <w:r w:rsidRPr="003E023F">
        <w:rPr>
          <w:rStyle w:val="FootnoteReference"/>
          <w:szCs w:val="24"/>
        </w:rPr>
        <w:footnoteReference w:id="105"/>
      </w:r>
      <w:r w:rsidRPr="003E023F">
        <w:rPr>
          <w:szCs w:val="24"/>
        </w:rPr>
        <w:t>.</w:t>
      </w:r>
    </w:p>
    <w:p w:rsidR="00572744" w:rsidRPr="003E023F" w:rsidRDefault="00572744" w:rsidP="00572744">
      <w:pPr>
        <w:tabs>
          <w:tab w:val="left" w:pos="1418"/>
        </w:tabs>
        <w:ind w:left="-1350" w:right="-990" w:firstLine="851"/>
        <w:jc w:val="both"/>
        <w:rPr>
          <w:szCs w:val="24"/>
        </w:rPr>
      </w:pPr>
      <w:r w:rsidRPr="003E023F">
        <w:rPr>
          <w:szCs w:val="24"/>
        </w:rPr>
        <w:t xml:space="preserve">Dacă fiecare Taină este un eveniment </w:t>
      </w:r>
      <w:r w:rsidRPr="003E023F">
        <w:rPr>
          <w:i/>
          <w:szCs w:val="24"/>
        </w:rPr>
        <w:t>în</w:t>
      </w:r>
      <w:r w:rsidRPr="003E023F">
        <w:rPr>
          <w:szCs w:val="24"/>
        </w:rPr>
        <w:t xml:space="preserve"> Biserică, </w:t>
      </w:r>
      <w:r w:rsidRPr="003E023F">
        <w:rPr>
          <w:i/>
          <w:szCs w:val="24"/>
        </w:rPr>
        <w:t>pentru</w:t>
      </w:r>
      <w:r w:rsidRPr="003E023F">
        <w:rPr>
          <w:szCs w:val="24"/>
        </w:rPr>
        <w:t xml:space="preserve"> Biserică şi </w:t>
      </w:r>
      <w:r w:rsidRPr="003E023F">
        <w:rPr>
          <w:i/>
          <w:szCs w:val="24"/>
        </w:rPr>
        <w:t>prin</w:t>
      </w:r>
      <w:r w:rsidRPr="003E023F">
        <w:rPr>
          <w:szCs w:val="24"/>
        </w:rPr>
        <w:t xml:space="preserve"> Biserică, Euharistia este Taina Bisericii, deoarece constituie, manifestă şi dă expresie esenţei Bisericii </w:t>
      </w:r>
      <w:r w:rsidRPr="003E023F">
        <w:rPr>
          <w:rStyle w:val="FootnoteReference"/>
          <w:szCs w:val="24"/>
        </w:rPr>
        <w:footnoteReference w:id="106"/>
      </w:r>
      <w:r w:rsidRPr="003E023F">
        <w:rPr>
          <w:szCs w:val="24"/>
        </w:rPr>
        <w:t xml:space="preserve">, care este locul vizibil al Împărăţiei lui Dumnezeu, </w:t>
      </w:r>
      <w:r w:rsidRPr="003E023F">
        <w:rPr>
          <w:i/>
          <w:szCs w:val="24"/>
        </w:rPr>
        <w:t>Basileia.</w:t>
      </w:r>
      <w:r w:rsidRPr="003E023F">
        <w:rPr>
          <w:szCs w:val="24"/>
        </w:rPr>
        <w:t xml:space="preserve"> Din nefericire, există încă obstacole serioase în calea deplinei </w:t>
      </w:r>
      <w:r w:rsidRPr="003E023F">
        <w:rPr>
          <w:i/>
          <w:szCs w:val="24"/>
        </w:rPr>
        <w:t>koinonia.</w:t>
      </w:r>
      <w:r w:rsidRPr="003E023F">
        <w:rPr>
          <w:szCs w:val="24"/>
        </w:rPr>
        <w:t xml:space="preserve"> Pentru multe Biserici </w:t>
      </w:r>
      <w:r w:rsidRPr="003E023F">
        <w:rPr>
          <w:i/>
          <w:szCs w:val="24"/>
        </w:rPr>
        <w:t>koinonia euharistică</w:t>
      </w:r>
      <w:r w:rsidRPr="003E023F">
        <w:rPr>
          <w:szCs w:val="24"/>
        </w:rPr>
        <w:t xml:space="preserve"> este expresia supremei unităţi în credinţă în timp ce pentru altele este posibilă, totuşi, atunci când există deja o comuniune “parţială”, sau un acord teologic. Există, de asemenea, biserici care încurajează “comuniunea euharistică provizorie” (</w:t>
      </w:r>
      <w:r w:rsidRPr="003E023F">
        <w:rPr>
          <w:i/>
          <w:szCs w:val="24"/>
        </w:rPr>
        <w:t>interim eucharistic communion</w:t>
      </w:r>
      <w:r w:rsidRPr="003E023F">
        <w:rPr>
          <w:szCs w:val="24"/>
        </w:rPr>
        <w:t>), “comuniune progresivă” (</w:t>
      </w:r>
      <w:r w:rsidRPr="003E023F">
        <w:rPr>
          <w:i/>
          <w:szCs w:val="24"/>
        </w:rPr>
        <w:t>progressive communion</w:t>
      </w:r>
      <w:r w:rsidRPr="003E023F">
        <w:rPr>
          <w:szCs w:val="24"/>
        </w:rPr>
        <w:t>), sau “ospitalitate eucharistică” (</w:t>
      </w:r>
      <w:r w:rsidRPr="003E023F">
        <w:rPr>
          <w:i/>
          <w:szCs w:val="24"/>
        </w:rPr>
        <w:t>eucharistic hospitality</w:t>
      </w:r>
      <w:r w:rsidRPr="003E023F">
        <w:rPr>
          <w:szCs w:val="24"/>
        </w:rPr>
        <w:t>), ca mijloace de a-i pregăti pe credincioşi pentru comuniunea euharistică deplină</w:t>
      </w:r>
      <w:r w:rsidRPr="003E023F">
        <w:rPr>
          <w:rStyle w:val="FootnoteReference"/>
          <w:szCs w:val="24"/>
        </w:rPr>
        <w:footnoteReference w:id="107"/>
      </w:r>
      <w:r w:rsidRPr="003E023F">
        <w:rPr>
          <w:szCs w:val="24"/>
        </w:rPr>
        <w:t>.</w:t>
      </w:r>
    </w:p>
    <w:p w:rsidR="00572744" w:rsidRPr="003E023F" w:rsidRDefault="00572744" w:rsidP="00572744">
      <w:pPr>
        <w:tabs>
          <w:tab w:val="left" w:pos="1418"/>
        </w:tabs>
        <w:ind w:left="-1350" w:right="-990" w:firstLine="851"/>
        <w:jc w:val="both"/>
        <w:rPr>
          <w:szCs w:val="24"/>
        </w:rPr>
      </w:pPr>
      <w:r w:rsidRPr="003E023F">
        <w:rPr>
          <w:szCs w:val="24"/>
        </w:rPr>
        <w:t>Expresia “ospitalitate euharistică” a apărut în contextul mişcării ecumenice moderne pentru a desemna posibilitatea participării la “Cina Domnului” în condiţiile divizării existente între creştini. Mulţi cred că aceasta este posibilă fie în sine, fie ca măsură intermediară care să conducă la  unitate desăvârşită</w:t>
      </w:r>
      <w:r w:rsidRPr="003E023F">
        <w:rPr>
          <w:rStyle w:val="FootnoteReference"/>
          <w:szCs w:val="24"/>
        </w:rPr>
        <w:footnoteReference w:id="108"/>
      </w:r>
      <w:r w:rsidRPr="003E023F">
        <w:rPr>
          <w:szCs w:val="24"/>
        </w:rPr>
        <w:t>. Abordând problema “ospitalităţii euharistice”, Mitropolitul Paulos Mar Gregorios arăta că pentru un ortodox apar două întrebări: Cine este această gazdă atât de ospitalieră? Ce şi cui oferă această gazdă?</w:t>
      </w:r>
      <w:r w:rsidRPr="003E023F">
        <w:rPr>
          <w:rStyle w:val="FootnoteReference"/>
          <w:szCs w:val="24"/>
        </w:rPr>
        <w:footnoteReference w:id="109"/>
      </w:r>
      <w:r w:rsidRPr="003E023F">
        <w:rPr>
          <w:szCs w:val="24"/>
        </w:rPr>
        <w:t xml:space="preserve"> </w:t>
      </w:r>
    </w:p>
    <w:p w:rsidR="00572744" w:rsidRPr="003E023F" w:rsidRDefault="00572744" w:rsidP="00572744">
      <w:pPr>
        <w:tabs>
          <w:tab w:val="left" w:pos="1418"/>
        </w:tabs>
        <w:ind w:left="-1350" w:right="-990" w:firstLine="851"/>
        <w:jc w:val="both"/>
        <w:rPr>
          <w:szCs w:val="24"/>
        </w:rPr>
      </w:pPr>
      <w:r w:rsidRPr="003E023F">
        <w:rPr>
          <w:szCs w:val="24"/>
        </w:rPr>
        <w:t xml:space="preserve">De fapt, Sfânta Euharistie este jertfa de mulţumire oferită lui Dumnezeu de către Biserică pentru întreaga creaţia, de aceea nu poate apare problema ospitalităţii. A oferi comuniune celor care nu sunt în comuniune, ar însemna a percepe Sfânta Euharistie ca un ospăţ oferit de Biserică, la care poate invita oaspeţi în plus. Dar Biserica se oferă pe sine lui Dumnezeu prin Trupul şi Sângele Domnului, de aceea nu poate fi vorba de </w:t>
      </w:r>
      <w:r w:rsidRPr="003E023F">
        <w:rPr>
          <w:szCs w:val="24"/>
        </w:rPr>
        <w:lastRenderedPageBreak/>
        <w:t xml:space="preserve">ospitalitate în administrarea Sfintelor Taine. Mai mult termenul “ospitalitate” </w:t>
      </w:r>
      <w:r>
        <w:rPr>
          <w:szCs w:val="24"/>
        </w:rPr>
        <w:t>devine chiar ofensiv, deoarece B</w:t>
      </w:r>
      <w:r w:rsidRPr="003E023F">
        <w:rPr>
          <w:szCs w:val="24"/>
        </w:rPr>
        <w:t xml:space="preserve">isericile care nu oferă acest gen de ospitalitate pot fi catalogate drept neospitaliere.  Ortodoxia poate aplica doar principiul </w:t>
      </w:r>
      <w:r w:rsidRPr="003E023F">
        <w:rPr>
          <w:i/>
          <w:szCs w:val="24"/>
        </w:rPr>
        <w:t>oikonomiei</w:t>
      </w:r>
      <w:r w:rsidRPr="003E023F">
        <w:rPr>
          <w:szCs w:val="24"/>
        </w:rPr>
        <w:t xml:space="preserve"> , care permite autorităţilor canonice să facă excepţii din motive pastorale şi misionare. Dar nici “ospitalitatea euharistică”,  nici „intercomuniunea” nu au vreo relevanţă pentru un ortodox</w:t>
      </w:r>
      <w:r w:rsidRPr="003E023F">
        <w:rPr>
          <w:rStyle w:val="FootnoteReference"/>
          <w:szCs w:val="24"/>
        </w:rPr>
        <w:footnoteReference w:id="110"/>
      </w:r>
      <w:r w:rsidRPr="003E023F">
        <w:rPr>
          <w:szCs w:val="24"/>
        </w:rPr>
        <w:t xml:space="preserve">. </w:t>
      </w:r>
    </w:p>
    <w:p w:rsidR="00572744" w:rsidRPr="00090EAD" w:rsidRDefault="00572744" w:rsidP="00572744">
      <w:pPr>
        <w:tabs>
          <w:tab w:val="left" w:pos="1418"/>
        </w:tabs>
        <w:ind w:left="-1350" w:right="-990" w:firstLine="851"/>
        <w:jc w:val="both"/>
        <w:rPr>
          <w:sz w:val="20"/>
        </w:rPr>
      </w:pPr>
      <w:r w:rsidRPr="003E023F">
        <w:rPr>
          <w:szCs w:val="24"/>
        </w:rPr>
        <w:t xml:space="preserve">În ceea ce priveşte „intercomuniunea”, lucrurile sunt clarificate în teologia română. Părintele profesor Ion Bria oferea în capitolul „Unitate şi intercomuniune”, din teza de doctorat intitulată: </w:t>
      </w:r>
      <w:r w:rsidRPr="003E023F">
        <w:rPr>
          <w:i/>
          <w:szCs w:val="24"/>
        </w:rPr>
        <w:t>Aspecte dogmatice ale unirii Bisericilor</w:t>
      </w:r>
      <w:r w:rsidRPr="003E023F">
        <w:rPr>
          <w:rStyle w:val="FootnoteReference"/>
          <w:szCs w:val="24"/>
        </w:rPr>
        <w:footnoteReference w:id="111"/>
      </w:r>
      <w:r w:rsidRPr="003E023F">
        <w:rPr>
          <w:i/>
          <w:szCs w:val="24"/>
        </w:rPr>
        <w:t>,</w:t>
      </w:r>
      <w:r w:rsidRPr="003E023F">
        <w:rPr>
          <w:szCs w:val="24"/>
        </w:rPr>
        <w:t xml:space="preserve"> o foarte utilă prezentare a problematicii, arătând că din punct de vedere al condiţionării dogmatice, s-au formulat patru concepţii despre „intercomuniune”:</w:t>
      </w:r>
      <w:r w:rsidRPr="00090EAD">
        <w:rPr>
          <w:sz w:val="20"/>
        </w:rPr>
        <w:t xml:space="preserve"> </w:t>
      </w:r>
    </w:p>
    <w:p w:rsidR="00572744" w:rsidRPr="00090EAD" w:rsidRDefault="00572744" w:rsidP="00572744">
      <w:pPr>
        <w:tabs>
          <w:tab w:val="left" w:pos="1418"/>
        </w:tabs>
        <w:ind w:left="-1350" w:right="-990" w:firstLine="851"/>
        <w:jc w:val="both"/>
        <w:rPr>
          <w:sz w:val="20"/>
        </w:rPr>
      </w:pPr>
      <w:r w:rsidRPr="00090EAD">
        <w:rPr>
          <w:sz w:val="20"/>
        </w:rPr>
        <w:t>a) Concepţia “totală” (ortodoxă), după care între Biserici nu poate să existe decât “comuniune totală”, deplină (după terminologia de la Lund, 1952), ceea ce implică unitatea de doctrină şi unitatea de slujire sacramentală. Deci unirea trebuie înţeleasă ca unitate totală într-o singură Biserică văzută;</w:t>
      </w:r>
    </w:p>
    <w:p w:rsidR="00572744" w:rsidRPr="00090EAD" w:rsidRDefault="00572744" w:rsidP="00572744">
      <w:pPr>
        <w:tabs>
          <w:tab w:val="left" w:pos="1418"/>
        </w:tabs>
        <w:ind w:left="-1350" w:right="-990" w:firstLine="851"/>
        <w:jc w:val="both"/>
        <w:rPr>
          <w:sz w:val="20"/>
        </w:rPr>
      </w:pPr>
      <w:r w:rsidRPr="00090EAD">
        <w:rPr>
          <w:sz w:val="20"/>
        </w:rPr>
        <w:t xml:space="preserve"> b) Concepţia “ministerială” sau a slujirii (anglicană), care pune accentul pe unitatea preoţiei hirotonite. Numai Biserica aceea care păstrează succesiunea istorică a episcopatului, are o preoţie capabilă să celebreze valid Euharistia;</w:t>
      </w:r>
    </w:p>
    <w:p w:rsidR="00572744" w:rsidRPr="00090EAD" w:rsidRDefault="00572744" w:rsidP="00572744">
      <w:pPr>
        <w:tabs>
          <w:tab w:val="left" w:pos="1418"/>
        </w:tabs>
        <w:ind w:left="-1350" w:right="-990" w:firstLine="851"/>
        <w:jc w:val="both"/>
        <w:rPr>
          <w:sz w:val="20"/>
        </w:rPr>
      </w:pPr>
      <w:r w:rsidRPr="00090EAD">
        <w:rPr>
          <w:sz w:val="20"/>
        </w:rPr>
        <w:t xml:space="preserve"> c) Concepţia “doctrinară” (luterană), care accentuează credinţa în doctrina euharistică, condiţia intercomuniunii fiind unitatea de credinţă în prezenţa reală, deci un consens doctrinar asupra Euharistiei;</w:t>
      </w:r>
    </w:p>
    <w:p w:rsidR="00572744" w:rsidRPr="003E023F" w:rsidRDefault="00572744" w:rsidP="00572744">
      <w:pPr>
        <w:tabs>
          <w:tab w:val="left" w:pos="1418"/>
        </w:tabs>
        <w:ind w:left="-1350" w:right="-990" w:firstLine="851"/>
        <w:jc w:val="both"/>
        <w:rPr>
          <w:szCs w:val="24"/>
        </w:rPr>
      </w:pPr>
      <w:r w:rsidRPr="00090EAD">
        <w:rPr>
          <w:sz w:val="20"/>
        </w:rPr>
        <w:t xml:space="preserve"> d) Concepţia “deschisă”(reformată), conform căreia Hristos este Domnul şi Săvârşitorul Cinei, adică El invită pe toţi, şi, de aceea, nici o doctrină sau disciplină nu poate să-i împiedice pe creştini să primească darul oferit de El gratuit</w:t>
      </w:r>
      <w:r w:rsidRPr="00090EAD">
        <w:rPr>
          <w:rStyle w:val="FootnoteReference"/>
          <w:sz w:val="20"/>
        </w:rPr>
        <w:footnoteReference w:id="112"/>
      </w:r>
      <w:r w:rsidRPr="003E023F">
        <w:rPr>
          <w:szCs w:val="24"/>
        </w:rPr>
        <w:t>.</w:t>
      </w:r>
    </w:p>
    <w:p w:rsidR="00572744" w:rsidRPr="003E023F" w:rsidRDefault="00572744" w:rsidP="00572744">
      <w:pPr>
        <w:tabs>
          <w:tab w:val="left" w:pos="1418"/>
        </w:tabs>
        <w:ind w:left="-1350" w:right="-990" w:firstLine="851"/>
        <w:jc w:val="both"/>
        <w:rPr>
          <w:szCs w:val="24"/>
        </w:rPr>
      </w:pPr>
      <w:r w:rsidRPr="003E023F">
        <w:rPr>
          <w:szCs w:val="24"/>
        </w:rPr>
        <w:t>Părintele Stăniloae a scris un studiu</w:t>
      </w:r>
      <w:r w:rsidRPr="003E023F">
        <w:rPr>
          <w:rStyle w:val="FootnoteReference"/>
          <w:szCs w:val="24"/>
        </w:rPr>
        <w:footnoteReference w:id="113"/>
      </w:r>
      <w:r w:rsidRPr="003E023F">
        <w:rPr>
          <w:szCs w:val="24"/>
        </w:rPr>
        <w:t xml:space="preserve"> în care </w:t>
      </w:r>
      <w:r w:rsidRPr="003E023F">
        <w:rPr>
          <w:i/>
          <w:szCs w:val="24"/>
        </w:rPr>
        <w:t xml:space="preserve"> </w:t>
      </w:r>
      <w:r w:rsidRPr="003E023F">
        <w:rPr>
          <w:szCs w:val="24"/>
        </w:rPr>
        <w:t xml:space="preserve">„intercomuniunea” este calificată drept un “produs al unui spirit de tranzacţie”, iar „conceptul intercomuniunii cuprinde în sine mai întâi o gravă contradicţie logică şi reală. Nu o </w:t>
      </w:r>
      <w:r w:rsidRPr="003E023F">
        <w:rPr>
          <w:i/>
          <w:szCs w:val="24"/>
        </w:rPr>
        <w:t>coincidentia oppositorum</w:t>
      </w:r>
      <w:r w:rsidRPr="003E023F">
        <w:rPr>
          <w:szCs w:val="24"/>
        </w:rPr>
        <w:t>, prin care e constituită orice unitate de bogată complexitate, ci o non-</w:t>
      </w:r>
      <w:r w:rsidRPr="003E023F">
        <w:rPr>
          <w:i/>
          <w:szCs w:val="24"/>
        </w:rPr>
        <w:t>coincidentia oppositorum</w:t>
      </w:r>
      <w:r w:rsidRPr="003E023F">
        <w:rPr>
          <w:szCs w:val="24"/>
        </w:rPr>
        <w:t xml:space="preserve"> în care contrariile se anulează pur şi simplu, în care negaţia face imposibilă afirmaţia sau îi reduce considerabil deplinătatea”</w:t>
      </w:r>
      <w:r w:rsidRPr="003E023F">
        <w:rPr>
          <w:rStyle w:val="FootnoteReference"/>
          <w:szCs w:val="24"/>
        </w:rPr>
        <w:footnoteReference w:id="114"/>
      </w:r>
      <w:r w:rsidRPr="003E023F">
        <w:rPr>
          <w:szCs w:val="24"/>
        </w:rPr>
        <w:t>, după ce cu câţiva ani înainte luase o poziţie radicală faţă de un act care ar fi putut avea repercusiuni greu de prevăzut: “intercomuniunea” dintre patriarhul ecumenic şi papă cu ocazia vizitei de la Roma în octombrie 1967.</w:t>
      </w:r>
      <w:r>
        <w:rPr>
          <w:szCs w:val="24"/>
        </w:rPr>
        <w:t xml:space="preserve"> </w:t>
      </w:r>
      <w:r w:rsidRPr="003E023F">
        <w:rPr>
          <w:szCs w:val="24"/>
        </w:rPr>
        <w:t>La producerea acestui ipotetic eveniment ar fi putut contribui substanţial profesorul  M. Afanassieff de la Institutul Teologic „Sfântul Serghie” din Paris, prin aşa-zisa teorie a ecclesiologiei euharistice opusă ecclesiologiei universaliste</w:t>
      </w:r>
      <w:r w:rsidRPr="003E023F">
        <w:rPr>
          <w:rStyle w:val="FootnoteReference"/>
          <w:szCs w:val="24"/>
        </w:rPr>
        <w:footnoteReference w:id="115"/>
      </w:r>
      <w:r w:rsidRPr="003E023F">
        <w:rPr>
          <w:szCs w:val="24"/>
        </w:rPr>
        <w:t>. El afirmă că, după ecclesiologia universalistă, este im</w:t>
      </w:r>
      <w:r>
        <w:rPr>
          <w:szCs w:val="24"/>
        </w:rPr>
        <w:t>posibil  de realizat o unire a B</w:t>
      </w:r>
      <w:r w:rsidRPr="003E023F">
        <w:rPr>
          <w:szCs w:val="24"/>
        </w:rPr>
        <w:t>isericilor, pentru că în afară de Biserica cea unică universală, care cuprinde tot ce este Biserica, nu mai există vreo biserică, calitatea de Biserică universală arogându-şi-o în exclusivitate atât Biserica Romano -Catolică, cât şi cea Ortodoxă. De aici imposibilitatea realizării unirii. Dar după teoria lui Afanassieff, “nu există o Biserică Universală, o Biserică întinsă pretutindeni, din care să facă parte toate Bisericile locale. Apartenenţa la o Biserică Universală nu e necesară unei Biserici locale, pentru a fi Biserică deplină. Orice comuniune în care se săvârşeşte Euharistia şi are ca centru un episcop este Biserica deplină, indiferent dacă se află în comuniune cu alte comunităţi care săvârşesc şi ele Euharistia şi au ca centru un episcop”</w:t>
      </w:r>
      <w:r w:rsidRPr="003E023F">
        <w:rPr>
          <w:rStyle w:val="FootnoteReference"/>
          <w:szCs w:val="24"/>
        </w:rPr>
        <w:footnoteReference w:id="116"/>
      </w:r>
      <w:r w:rsidRPr="003E023F">
        <w:rPr>
          <w:szCs w:val="24"/>
        </w:rPr>
        <w:t>. Avem aici un exemplu concludent pentru pericolul reprezentat de folosirea jumătăţilor de adevăr. Într-adevăr, în concepţia ortodoxă, nu poate fi vorba de o</w:t>
      </w:r>
      <w:r>
        <w:rPr>
          <w:szCs w:val="24"/>
        </w:rPr>
        <w:t xml:space="preserve"> apartenenţă jurisdicţională a B</w:t>
      </w:r>
      <w:r w:rsidRPr="003E023F">
        <w:rPr>
          <w:szCs w:val="24"/>
        </w:rPr>
        <w:t xml:space="preserve">isericilor locale faţă de Biserica Universală, sau mai degrabă universalistă - cum este Biserica Romano-catolică- , dar aceasta nu înseamnă că nu trebuie să fie în unitate de credinţă, în relaţii frăţeşti, în unitate de cult în general, pentru a putea fi şi în comuniune euharistică. Biserica este redusă la o monadă ecclesială închisă în sine. De fapt, ecclesiologia euharistică oscilează între catolicism care </w:t>
      </w:r>
      <w:r w:rsidRPr="003E023F">
        <w:rPr>
          <w:szCs w:val="24"/>
        </w:rPr>
        <w:lastRenderedPageBreak/>
        <w:t>reduce eclesiologia la o unitate închisă, şi protestantism</w:t>
      </w:r>
      <w:r>
        <w:rPr>
          <w:szCs w:val="24"/>
        </w:rPr>
        <w:t xml:space="preserve"> care supradimensionează rolul B</w:t>
      </w:r>
      <w:r w:rsidRPr="003E023F">
        <w:rPr>
          <w:szCs w:val="24"/>
        </w:rPr>
        <w:t xml:space="preserve">isericilor locale fără a fi într-o relaţie strânsă de comuniune bazată pe </w:t>
      </w:r>
      <w:r>
        <w:rPr>
          <w:szCs w:val="24"/>
        </w:rPr>
        <w:t>adevăr şi iubire, cu celelalte B</w:t>
      </w:r>
      <w:r w:rsidRPr="003E023F">
        <w:rPr>
          <w:szCs w:val="24"/>
        </w:rPr>
        <w:t>iserici sau cu Biserica universală</w:t>
      </w:r>
      <w:r w:rsidRPr="003E023F">
        <w:rPr>
          <w:rStyle w:val="FootnoteReference"/>
          <w:szCs w:val="24"/>
        </w:rPr>
        <w:footnoteReference w:id="117"/>
      </w:r>
      <w:r w:rsidRPr="003E023F">
        <w:rPr>
          <w:szCs w:val="24"/>
        </w:rPr>
        <w:t>. După ce expune în continuare teoria lui Afanassieff, şi îi arată carenţele, părintele Stăniloae o califică drept o:  “pledoarie “dogmatică” şi “istorică” pentru intrarea Bisericii Ortodoxe în comuniune cu Biserica Romei, cu ocolirea discuţiei punctelor dogmatice deosebitoare, cu minimalizarea acestor diferenţe, pentru ca, creând în conştiinţa ortodocşilor intraţi în comuniune cu Roma, această atitudine relativistă faţă de diferenţele dogmatice  între Biserica Ortodoxă şi cea Catolică, să se ajungă treptat ca ortodocşii să accepte ulterior şi învăţăturile dogmatice ale Romei, “dându-i prin iubire mai mult decât prin drept”</w:t>
      </w:r>
      <w:r w:rsidRPr="003E023F">
        <w:rPr>
          <w:rStyle w:val="FootnoteReference"/>
          <w:szCs w:val="24"/>
        </w:rPr>
        <w:footnoteReference w:id="118"/>
      </w:r>
      <w:r w:rsidRPr="003E023F">
        <w:rPr>
          <w:szCs w:val="24"/>
        </w:rPr>
        <w:t>. Cât de gravă a considerat părintele Stăniloae această teorie, putem deduce şi din faptul că o menţionează din nou, după mulţi ani, într-o carte despre Sfânta Liturghie</w:t>
      </w:r>
      <w:r w:rsidRPr="003E023F">
        <w:rPr>
          <w:rStyle w:val="FootnoteReference"/>
          <w:szCs w:val="24"/>
        </w:rPr>
        <w:footnoteReference w:id="119"/>
      </w:r>
      <w:r w:rsidRPr="003E023F">
        <w:rPr>
          <w:szCs w:val="24"/>
        </w:rPr>
        <w:t>, subliniind faptul  că Liturghia nu începe cu Euharistia, ci abia după ce preotul spune: “Să ne iubim unii pe alţii…”, şi se rosteşte Crezul, deci se realizează comuniunea de iubire şi de credinţă, se ajunge la prefacerea cinstitelor daruri şi apoi la împărtăşirea din acelaşi Potir. În studiul citat este criticată şi poziţia lui A.Schmemann, care “pornind de la baza eclesiologiei euharistice, contrară eclesiologiei juridic-universaliste şi centraliste a Romei, a ajuns pănă la urmă să recunoască în fond primatul papal în sensul lui aproape deplin”</w:t>
      </w:r>
      <w:r w:rsidRPr="003E023F">
        <w:rPr>
          <w:rStyle w:val="FootnoteReference"/>
          <w:szCs w:val="24"/>
        </w:rPr>
        <w:footnoteReference w:id="120"/>
      </w:r>
      <w:r w:rsidRPr="003E023F">
        <w:rPr>
          <w:szCs w:val="24"/>
        </w:rPr>
        <w:t>.</w:t>
      </w:r>
    </w:p>
    <w:p w:rsidR="00572744" w:rsidRPr="003E023F" w:rsidRDefault="00572744" w:rsidP="00572744">
      <w:pPr>
        <w:tabs>
          <w:tab w:val="left" w:pos="1418"/>
        </w:tabs>
        <w:ind w:left="-1350" w:right="-990" w:firstLine="851"/>
        <w:jc w:val="both"/>
        <w:rPr>
          <w:szCs w:val="24"/>
        </w:rPr>
      </w:pPr>
      <w:r w:rsidRPr="003E023F">
        <w:rPr>
          <w:szCs w:val="24"/>
        </w:rPr>
        <w:t>Părintele Stăniloae a urmărit şi a scris în mod amănunţit despre vizitele reciproce întreprinse de papa Paul al VI-lea şi de patriarhul Atenagora (iulie, respectiv octombrie 1967). Se pare că papa a făcut primul vizita, din cauza opoziţiei ortodocşilor conservatori. Îngrijorarea începuse deja cu puţin înainte de vizita papei, când patriarhul ecumenic declara: “Noi suntem în unitate cu Biserica Romei şi în numele lui Hristos noi căută să stabilim intercomuniune”</w:t>
      </w:r>
      <w:r w:rsidRPr="003E023F">
        <w:rPr>
          <w:rStyle w:val="FootnoteReference"/>
          <w:szCs w:val="24"/>
        </w:rPr>
        <w:footnoteReference w:id="121"/>
      </w:r>
      <w:r w:rsidRPr="003E023F">
        <w:rPr>
          <w:szCs w:val="24"/>
        </w:rPr>
        <w:t>. Nu a fost o expresie protocolară, fiind cunoscut faptul că patriarhul afirmase adesea că după ce se va crea o atmosferă de mare iubire (prin intercomuniune, n.n.), teologia va rezolva cu mai multă uşurinţă problema diferenţelor dogmatice, în sensul acesta cristalizându-se o adevărată “doctrină Atenagora”</w:t>
      </w:r>
      <w:r w:rsidRPr="003E023F">
        <w:rPr>
          <w:rStyle w:val="FootnoteReference"/>
          <w:szCs w:val="24"/>
        </w:rPr>
        <w:footnoteReference w:id="122"/>
      </w:r>
      <w:r w:rsidRPr="003E023F">
        <w:rPr>
          <w:szCs w:val="24"/>
        </w:rPr>
        <w:t xml:space="preserve">. Pregătindu-şi viziata la Roma, patriarhul Atenagora anunţa că intenţionează, ca în acord cu toate Bisericile Ortodoxe, să convoace un mare sinod, pentru a putea duce la Roma un acord al întregii Ortodoxii în problema dialogului cu Biserica Romano-Catolică. Totodată a hotărât să-i viziteze pe Întâistătătorii Bisericilor Ortodoxe autocefale în toamna anului 1967. Întâlnirile de la Belgrad, Bucureşti şi Sofia, ca </w:t>
      </w:r>
      <w:r>
        <w:rPr>
          <w:szCs w:val="24"/>
        </w:rPr>
        <w:t>şi declaraţiile anterioare ale patriarhului Moscovei şi m</w:t>
      </w:r>
      <w:r w:rsidRPr="003E023F">
        <w:rPr>
          <w:szCs w:val="24"/>
        </w:rPr>
        <w:t>itropolitului Leningradului, l-au determinat pe patriarh</w:t>
      </w:r>
      <w:r>
        <w:rPr>
          <w:szCs w:val="24"/>
        </w:rPr>
        <w:t>ul ecumenic</w:t>
      </w:r>
      <w:r w:rsidRPr="003E023F">
        <w:rPr>
          <w:szCs w:val="24"/>
        </w:rPr>
        <w:t xml:space="preserve"> să înţeleagă că din moment ce Roma nu a renunţat le vechile sale pretenţii, “premisele unui dialog, pe picior de egalitate, aşa cum îl înţelege Biserica Ortodoxă şi cum s-a hotărât şi la cea de a treia Conferinţă Panortodoxă de la Rodos nu sunt încă create şi, ca atare, începerea unui astfel de dialog teologic nu este încă cu putinţă”</w:t>
      </w:r>
      <w:r w:rsidRPr="003E023F">
        <w:rPr>
          <w:rStyle w:val="FootnoteReference"/>
          <w:szCs w:val="24"/>
        </w:rPr>
        <w:footnoteReference w:id="123"/>
      </w:r>
      <w:r w:rsidRPr="003E023F">
        <w:rPr>
          <w:szCs w:val="24"/>
        </w:rPr>
        <w:t>, şi, prin urmare, cu atât mai puţin „intercomuniunea”. Chiar dacă la Roma se făcuseră pregătiri pentru o “misă de comuniune”, “fermitatea întâlnită de patriarhul ecumenic Atenagora la Belgrad, Bucureşti (</w:t>
      </w:r>
      <w:r w:rsidRPr="003E023F">
        <w:rPr>
          <w:i/>
          <w:szCs w:val="24"/>
        </w:rPr>
        <w:t xml:space="preserve">părintele Stăniloae a avut  în acest sens un rol foarte important, prin sfaturile oferite patriarhului Justinian, n.n </w:t>
      </w:r>
      <w:r w:rsidRPr="003E023F">
        <w:rPr>
          <w:szCs w:val="24"/>
        </w:rPr>
        <w:t>)</w:t>
      </w:r>
      <w:r w:rsidRPr="003E023F">
        <w:rPr>
          <w:i/>
          <w:szCs w:val="24"/>
        </w:rPr>
        <w:t xml:space="preserve"> </w:t>
      </w:r>
      <w:r w:rsidRPr="003E023F">
        <w:rPr>
          <w:szCs w:val="24"/>
        </w:rPr>
        <w:t xml:space="preserve">şi Sofia, a determinat scoaterea în ultima clipă, din această </w:t>
      </w:r>
      <w:r w:rsidRPr="003E023F">
        <w:rPr>
          <w:i/>
          <w:szCs w:val="24"/>
        </w:rPr>
        <w:t>misă</w:t>
      </w:r>
      <w:r w:rsidRPr="003E023F">
        <w:rPr>
          <w:szCs w:val="24"/>
        </w:rPr>
        <w:t xml:space="preserve"> a părţii referitoare la consacrare şi împărtăşire” </w:t>
      </w:r>
      <w:r w:rsidRPr="003E023F">
        <w:rPr>
          <w:rStyle w:val="FootnoteReference"/>
          <w:szCs w:val="24"/>
        </w:rPr>
        <w:footnoteReference w:id="124"/>
      </w:r>
      <w:r w:rsidRPr="003E023F">
        <w:rPr>
          <w:szCs w:val="24"/>
        </w:rPr>
        <w:t>. Patriarhul şi-a exprimat dorinţa de a se realiza comuniunea euharistica, dar a precizat patru puncte neglijate anterior: a) dialogul iubirii trebuie continuat, b) acesta va trebui urmat de un dialog teologic, c) nu se ştie cât de lung va fi drumul până la unitate, d) comuniunea se va realiza abia odată cu unitatea în credinţă</w:t>
      </w:r>
      <w:r w:rsidRPr="003E023F">
        <w:rPr>
          <w:rStyle w:val="FootnoteReference"/>
          <w:szCs w:val="24"/>
        </w:rPr>
        <w:footnoteReference w:id="125"/>
      </w:r>
      <w:r w:rsidRPr="003E023F">
        <w:rPr>
          <w:szCs w:val="24"/>
        </w:rPr>
        <w:t xml:space="preserve">. Se afirmă aici implicit importanţa succesiunii din </w:t>
      </w:r>
      <w:r w:rsidRPr="003E023F">
        <w:rPr>
          <w:i/>
          <w:szCs w:val="24"/>
        </w:rPr>
        <w:t>F.Ap.</w:t>
      </w:r>
      <w:r w:rsidRPr="003E023F">
        <w:rPr>
          <w:szCs w:val="24"/>
        </w:rPr>
        <w:t xml:space="preserve">2,42. </w:t>
      </w:r>
    </w:p>
    <w:p w:rsidR="00572744" w:rsidRPr="003E023F" w:rsidRDefault="00572744" w:rsidP="00572744">
      <w:pPr>
        <w:tabs>
          <w:tab w:val="left" w:pos="1418"/>
        </w:tabs>
        <w:ind w:left="-1350" w:right="-990" w:firstLine="851"/>
        <w:jc w:val="both"/>
        <w:rPr>
          <w:szCs w:val="24"/>
        </w:rPr>
      </w:pPr>
      <w:r w:rsidRPr="003E023F">
        <w:rPr>
          <w:szCs w:val="24"/>
        </w:rPr>
        <w:lastRenderedPageBreak/>
        <w:t>Tema a fost reluată într-un articol în care tonul este la fel de categoric : “Vaticanul a inventat o altă tactică: el nu mai doreşte un dialog teologic cu ortodocşii, ci propune realizarea unei comuniuni euharistice şi prin aceasta o comuniune în toate Tainele cu ortodocşii, cele două Biserici rămânând mai departe Biserici diferite şi distincte din punct de vedere dogmatic”</w:t>
      </w:r>
      <w:r w:rsidRPr="003E023F">
        <w:rPr>
          <w:rStyle w:val="FootnoteReference"/>
          <w:szCs w:val="24"/>
        </w:rPr>
        <w:footnoteReference w:id="126"/>
      </w:r>
      <w:r w:rsidRPr="003E023F">
        <w:rPr>
          <w:szCs w:val="24"/>
        </w:rPr>
        <w:t>, scopul final fiind, de fapt, acceptarea primatului papal.</w:t>
      </w:r>
    </w:p>
    <w:p w:rsidR="00572744" w:rsidRPr="003E023F" w:rsidRDefault="00572744" w:rsidP="00572744">
      <w:pPr>
        <w:tabs>
          <w:tab w:val="left" w:pos="1418"/>
        </w:tabs>
        <w:ind w:left="-1350" w:right="-990" w:firstLine="851"/>
        <w:jc w:val="both"/>
        <w:rPr>
          <w:szCs w:val="24"/>
        </w:rPr>
      </w:pPr>
      <w:r w:rsidRPr="003E023F">
        <w:rPr>
          <w:szCs w:val="24"/>
        </w:rPr>
        <w:t xml:space="preserve">În concluzie vom spune că în tensiunea actuală, creată de divergenţe doctrinare ireconciliabile, împărtăşirea din acelaşi Potir,  care înseamnă cuminecarea sacramentală cu Cuvântul mărturisit, nu poate deveni  un mijloc pentru refacerea unităţii văzute, dar rămâne un mare deziderat, care se va împlini doar după ce se va fi ajuns la  unitatea de credinţă şi la legătura frăţească. Cu ocazia vizitei papale la Bucureşti în mai 1999, cei doi Întîistătători şi-au oferit reciproc câte un potir gol, ca semn al speranţei într-o viitoare împărtăşire din acelaşi Potir.  </w:t>
      </w:r>
    </w:p>
    <w:p w:rsidR="00572744" w:rsidRPr="003E023F" w:rsidRDefault="00572744" w:rsidP="00572744">
      <w:pPr>
        <w:tabs>
          <w:tab w:val="left" w:pos="1418"/>
        </w:tabs>
        <w:ind w:left="-1350" w:right="-990"/>
        <w:jc w:val="both"/>
        <w:rPr>
          <w:i/>
          <w:szCs w:val="24"/>
        </w:rPr>
      </w:pPr>
    </w:p>
    <w:p w:rsidR="00572744" w:rsidRPr="003E023F" w:rsidRDefault="00572744" w:rsidP="00572744">
      <w:pPr>
        <w:tabs>
          <w:tab w:val="left" w:pos="1418"/>
        </w:tabs>
        <w:ind w:left="-1350" w:right="-990"/>
        <w:jc w:val="both"/>
        <w:rPr>
          <w:i/>
          <w:szCs w:val="24"/>
        </w:rPr>
      </w:pPr>
      <w:r w:rsidRPr="003E023F">
        <w:rPr>
          <w:i/>
          <w:szCs w:val="24"/>
        </w:rPr>
        <w:t>D. Rugăciuni  -pentru unitate: perspectiva profetică</w:t>
      </w:r>
    </w:p>
    <w:p w:rsidR="00572744" w:rsidRPr="003E023F" w:rsidRDefault="00572744" w:rsidP="00572744">
      <w:pPr>
        <w:tabs>
          <w:tab w:val="left" w:pos="1418"/>
        </w:tabs>
        <w:ind w:left="-1350" w:right="-990"/>
        <w:jc w:val="both"/>
        <w:rPr>
          <w:i/>
          <w:szCs w:val="24"/>
        </w:rPr>
      </w:pPr>
    </w:p>
    <w:p w:rsidR="00572744" w:rsidRPr="003E023F" w:rsidRDefault="00572744" w:rsidP="00572744">
      <w:pPr>
        <w:tabs>
          <w:tab w:val="left" w:pos="1418"/>
        </w:tabs>
        <w:ind w:left="-1350" w:right="-990" w:firstLine="851"/>
        <w:jc w:val="both"/>
        <w:rPr>
          <w:szCs w:val="24"/>
        </w:rPr>
      </w:pPr>
      <w:r w:rsidRPr="003E023F">
        <w:rPr>
          <w:i/>
          <w:szCs w:val="24"/>
        </w:rPr>
        <w:tab/>
      </w:r>
      <w:r w:rsidRPr="003E023F">
        <w:rPr>
          <w:i/>
          <w:szCs w:val="24"/>
        </w:rPr>
        <w:tab/>
      </w:r>
      <w:r w:rsidRPr="003E023F">
        <w:rPr>
          <w:i/>
          <w:szCs w:val="24"/>
        </w:rPr>
        <w:tab/>
        <w:t xml:space="preserve">“Înainte de toate vă îndemn să faceţi cereri, rugăciuni, mijlociri, mulţumiri </w:t>
      </w:r>
      <w:r w:rsidRPr="003E023F">
        <w:rPr>
          <w:i/>
          <w:szCs w:val="24"/>
        </w:rPr>
        <w:tab/>
      </w:r>
      <w:r w:rsidRPr="003E023F">
        <w:rPr>
          <w:i/>
          <w:szCs w:val="24"/>
        </w:rPr>
        <w:tab/>
      </w:r>
      <w:r w:rsidRPr="003E023F">
        <w:rPr>
          <w:i/>
          <w:szCs w:val="24"/>
        </w:rPr>
        <w:tab/>
      </w:r>
      <w:r w:rsidRPr="003E023F">
        <w:rPr>
          <w:i/>
          <w:szCs w:val="24"/>
        </w:rPr>
        <w:tab/>
      </w:r>
      <w:r w:rsidRPr="003E023F">
        <w:rPr>
          <w:i/>
          <w:szCs w:val="24"/>
        </w:rPr>
        <w:tab/>
      </w:r>
      <w:r w:rsidRPr="003E023F">
        <w:rPr>
          <w:i/>
          <w:szCs w:val="24"/>
        </w:rPr>
        <w:tab/>
        <w:t>pentru toţi oamenii”</w:t>
      </w:r>
      <w:r w:rsidRPr="003E023F">
        <w:rPr>
          <w:szCs w:val="24"/>
        </w:rPr>
        <w:t>(</w:t>
      </w:r>
      <w:r w:rsidRPr="003E023F">
        <w:rPr>
          <w:i/>
          <w:szCs w:val="24"/>
        </w:rPr>
        <w:t>1Tim</w:t>
      </w:r>
      <w:r w:rsidRPr="003E023F">
        <w:rPr>
          <w:szCs w:val="24"/>
        </w:rPr>
        <w:t>.2,1</w:t>
      </w:r>
      <w:r w:rsidRPr="003E023F">
        <w:rPr>
          <w:i/>
          <w:szCs w:val="24"/>
        </w:rPr>
        <w:t>; cf.F.Ap.</w:t>
      </w:r>
      <w:r w:rsidRPr="003E023F">
        <w:rPr>
          <w:szCs w:val="24"/>
        </w:rPr>
        <w:t>1,14)</w:t>
      </w:r>
    </w:p>
    <w:p w:rsidR="00572744" w:rsidRPr="003E023F" w:rsidRDefault="00572744" w:rsidP="00572744">
      <w:pPr>
        <w:tabs>
          <w:tab w:val="left" w:pos="1418"/>
        </w:tabs>
        <w:ind w:left="-1350" w:right="-990" w:firstLine="851"/>
        <w:jc w:val="both"/>
        <w:rPr>
          <w:szCs w:val="24"/>
        </w:rPr>
      </w:pPr>
    </w:p>
    <w:p w:rsidR="00572744" w:rsidRPr="003E023F" w:rsidRDefault="00572744" w:rsidP="00572744">
      <w:pPr>
        <w:tabs>
          <w:tab w:val="left" w:pos="1418"/>
        </w:tabs>
        <w:ind w:left="-1350" w:right="-990" w:firstLine="851"/>
        <w:jc w:val="both"/>
        <w:rPr>
          <w:szCs w:val="24"/>
        </w:rPr>
      </w:pPr>
      <w:r w:rsidRPr="003E023F">
        <w:rPr>
          <w:szCs w:val="24"/>
        </w:rPr>
        <w:t xml:space="preserve">Rugăciunea are “un mare rol unificator” </w:t>
      </w:r>
      <w:r w:rsidRPr="003E023F">
        <w:rPr>
          <w:rStyle w:val="FootnoteReference"/>
          <w:szCs w:val="24"/>
        </w:rPr>
        <w:footnoteReference w:id="127"/>
      </w:r>
      <w:r w:rsidRPr="003E023F">
        <w:rPr>
          <w:szCs w:val="24"/>
        </w:rPr>
        <w:t>. În studiul intitulat: „Rugăciunile pentru alţii şi sobornicitatea Bisericii</w:t>
      </w:r>
      <w:r w:rsidRPr="003E023F">
        <w:rPr>
          <w:rStyle w:val="FootnoteReference"/>
          <w:szCs w:val="24"/>
        </w:rPr>
        <w:footnoteReference w:id="128"/>
      </w:r>
      <w:r w:rsidRPr="003E023F">
        <w:rPr>
          <w:i/>
          <w:szCs w:val="24"/>
        </w:rPr>
        <w:t>,</w:t>
      </w:r>
      <w:r w:rsidRPr="003E023F">
        <w:rPr>
          <w:szCs w:val="24"/>
        </w:rPr>
        <w:t xml:space="preserve"> cu un conţinut deosebit de frumos, Părintele Stăniloae afirmă că </w:t>
      </w:r>
      <w:r w:rsidRPr="003E023F">
        <w:rPr>
          <w:i/>
          <w:szCs w:val="24"/>
        </w:rPr>
        <w:t>sobornicitatea</w:t>
      </w:r>
      <w:r w:rsidRPr="003E023F">
        <w:rPr>
          <w:szCs w:val="24"/>
        </w:rPr>
        <w:t xml:space="preserve"> este: “opusul singurătăţii”</w:t>
      </w:r>
      <w:r w:rsidRPr="003E023F">
        <w:rPr>
          <w:rStyle w:val="FootnoteReference"/>
          <w:szCs w:val="24"/>
        </w:rPr>
        <w:footnoteReference w:id="129"/>
      </w:r>
      <w:r w:rsidRPr="003E023F">
        <w:rPr>
          <w:szCs w:val="24"/>
        </w:rPr>
        <w:t>, şi de aici deduce marea temă a răspunderii prin care “o persoană experiază legătura în care se află cu cealaltă, legătură care nu depinde nici de voinţa sa, nici de voinţa celeilalte, ci de structura dialogică imprimată în fiecare persoană”</w:t>
      </w:r>
      <w:r w:rsidRPr="003E023F">
        <w:rPr>
          <w:rStyle w:val="FootnoteReference"/>
          <w:szCs w:val="24"/>
        </w:rPr>
        <w:footnoteReference w:id="130"/>
      </w:r>
      <w:r w:rsidRPr="003E023F">
        <w:rPr>
          <w:szCs w:val="24"/>
        </w:rPr>
        <w:t>. Responsabilitatea creştinului faţă de semeni, răspunsul la cererea lor este obligatorie datorită răspunsului la revendicarea lui Dumnezeu:</w:t>
      </w:r>
    </w:p>
    <w:p w:rsidR="00572744" w:rsidRPr="003E023F" w:rsidRDefault="00572744" w:rsidP="00572744">
      <w:pPr>
        <w:tabs>
          <w:tab w:val="left" w:pos="1418"/>
        </w:tabs>
        <w:ind w:left="-1350" w:right="-990" w:firstLine="851"/>
        <w:jc w:val="both"/>
        <w:rPr>
          <w:szCs w:val="24"/>
        </w:rPr>
      </w:pPr>
      <w:r w:rsidRPr="003E023F">
        <w:rPr>
          <w:szCs w:val="24"/>
        </w:rPr>
        <w:t>“Cine dintre noi refuză să răspundă lui Dumnezeu cât timp trăieşte pe pământ, va răspunde în faţa judecăţii lui Dumnezeu din viaţa viitoare pentru semenii săi, pentru care, nevoind să răspundă în viaţa aceasta, a voit să scape şi de responsabilitatea faţă de Dumnezeu”</w:t>
      </w:r>
      <w:r w:rsidRPr="003E023F">
        <w:rPr>
          <w:rStyle w:val="FootnoteReference"/>
          <w:szCs w:val="24"/>
        </w:rPr>
        <w:footnoteReference w:id="131"/>
      </w:r>
      <w:r w:rsidRPr="003E023F">
        <w:rPr>
          <w:szCs w:val="24"/>
        </w:rPr>
        <w:t xml:space="preserve">. </w:t>
      </w:r>
    </w:p>
    <w:p w:rsidR="00572744" w:rsidRPr="003E023F" w:rsidRDefault="00572744" w:rsidP="00572744">
      <w:pPr>
        <w:tabs>
          <w:tab w:val="left" w:pos="1418"/>
        </w:tabs>
        <w:ind w:left="-1350" w:right="-990" w:firstLine="851"/>
        <w:jc w:val="both"/>
        <w:rPr>
          <w:szCs w:val="24"/>
        </w:rPr>
      </w:pPr>
      <w:r w:rsidRPr="003E023F">
        <w:rPr>
          <w:szCs w:val="24"/>
        </w:rPr>
        <w:t xml:space="preserve">Aproapele nostru este orice om, cu atât mai mult unul care se numeşte creştin. Scandalul provocat de creştini nu se datorează “unităţii în diversitate”, poate nici chiar dezbinărilor în sine, ci urii manifestate atât de des (cf. </w:t>
      </w:r>
      <w:r w:rsidRPr="003E023F">
        <w:rPr>
          <w:i/>
          <w:szCs w:val="24"/>
        </w:rPr>
        <w:t>1In</w:t>
      </w:r>
      <w:r w:rsidRPr="003E023F">
        <w:rPr>
          <w:szCs w:val="24"/>
        </w:rPr>
        <w:t>.4,20,21). Legătura dialogică între persoane, sau răspunderea unora faţă de celelalte înaintea lui Dumnezeu trebuie să se manifeste prin rugăciune şi fapte bune</w:t>
      </w:r>
      <w:r w:rsidRPr="003E023F">
        <w:rPr>
          <w:rStyle w:val="FootnoteReference"/>
          <w:szCs w:val="24"/>
        </w:rPr>
        <w:footnoteReference w:id="132"/>
      </w:r>
      <w:r w:rsidRPr="003E023F">
        <w:rPr>
          <w:szCs w:val="24"/>
        </w:rPr>
        <w:t>. Şi pentru a rămâne deschişi şi disponibili pentru dialogul cu “ceilalţi”, asemenea părintelui Stăniloae, am putea spune că în rugăciune şi în fapte bune se pot întâlni toţi credincioşii creştini. Ei se pot ruga împreună</w:t>
      </w:r>
      <w:r w:rsidRPr="003E023F">
        <w:rPr>
          <w:rStyle w:val="FootnoteReference"/>
          <w:szCs w:val="24"/>
        </w:rPr>
        <w:footnoteReference w:id="133"/>
      </w:r>
      <w:r w:rsidRPr="003E023F">
        <w:rPr>
          <w:szCs w:val="24"/>
        </w:rPr>
        <w:t xml:space="preserve"> în special pentru unitate, se organizează adesea astfel de întâlniri, şi, de fapt, scria Lukas Vischer, dimensiunea locală a rugăciunii de mijlocire constituie piatra de temelie a pregătirii noastre pentru solidaritate mutuală. Ar f</w:t>
      </w:r>
      <w:r>
        <w:rPr>
          <w:szCs w:val="24"/>
        </w:rPr>
        <w:t>i necinstit să ne rugăm pentru B</w:t>
      </w:r>
      <w:r w:rsidRPr="003E023F">
        <w:rPr>
          <w:szCs w:val="24"/>
        </w:rPr>
        <w:t>iserici în general, dacă nu ne referim în primul rând la cele vecine cu noi</w:t>
      </w:r>
      <w:r w:rsidRPr="003E023F">
        <w:rPr>
          <w:rStyle w:val="FootnoteReference"/>
          <w:szCs w:val="24"/>
        </w:rPr>
        <w:footnoteReference w:id="134"/>
      </w:r>
      <w:r w:rsidRPr="003E023F">
        <w:rPr>
          <w:szCs w:val="24"/>
        </w:rPr>
        <w:t xml:space="preserve">. Creştinii pot face împreună fapte bune, există diverse fundaţii şi asociaţii cu scop caritativ în care sunt angajaţi şi ortodocşi şi creştini aparţinând diverselor confesiuni sau </w:t>
      </w:r>
      <w:r w:rsidRPr="003E023F">
        <w:rPr>
          <w:szCs w:val="24"/>
        </w:rPr>
        <w:lastRenderedPageBreak/>
        <w:t xml:space="preserve">denominaţiuni. Deci se pot uni pe plan local în efortul de-a alina suferinţele de tot felul. S-ar realiza astfel o oarecare comuniune, un cadru propice pentru cunoaştere şi respect reciproc, o experienţă ecclesială profetică în mişcare spre unitate deschisă tuturor. Bineînţeles că această colaborare practică interconfesională nu trebuie să fie confundată cu ecumenismul propriu-zis, adică cu dialogul teologic în vederea restaurării unităţii văzute între </w:t>
      </w:r>
      <w:r>
        <w:rPr>
          <w:szCs w:val="24"/>
        </w:rPr>
        <w:t>B</w:t>
      </w:r>
      <w:r w:rsidRPr="003E023F">
        <w:rPr>
          <w:szCs w:val="24"/>
        </w:rPr>
        <w:t>iserici pe linie istorică, dogmatică şi sacramentală. Mărturia creştină comună, publică crează doar ambianţa dialogului teologic. Bisericile Ortodoxe au reacţionat contra unei versiuni exclusiviste, socio-politice a ecumenismului.</w:t>
      </w:r>
    </w:p>
    <w:p w:rsidR="00572744" w:rsidRPr="003E023F" w:rsidRDefault="00572744" w:rsidP="00572744">
      <w:pPr>
        <w:tabs>
          <w:tab w:val="left" w:pos="1418"/>
        </w:tabs>
        <w:ind w:right="-990"/>
        <w:jc w:val="both"/>
        <w:rPr>
          <w:b/>
          <w:i/>
          <w:szCs w:val="24"/>
        </w:rPr>
      </w:pPr>
    </w:p>
    <w:p w:rsidR="00572744" w:rsidRPr="003E023F" w:rsidRDefault="00572744" w:rsidP="00572744">
      <w:pPr>
        <w:tabs>
          <w:tab w:val="left" w:pos="1418"/>
        </w:tabs>
        <w:ind w:left="-1350" w:right="-990"/>
        <w:jc w:val="both"/>
        <w:rPr>
          <w:i/>
          <w:szCs w:val="24"/>
        </w:rPr>
      </w:pPr>
      <w:r w:rsidRPr="003E023F">
        <w:rPr>
          <w:i/>
          <w:szCs w:val="24"/>
        </w:rPr>
        <w:t xml:space="preserve"> </w:t>
      </w:r>
      <w:r>
        <w:rPr>
          <w:i/>
          <w:szCs w:val="24"/>
        </w:rPr>
        <w:t>5.</w:t>
      </w:r>
      <w:r w:rsidRPr="003E023F">
        <w:rPr>
          <w:i/>
          <w:szCs w:val="24"/>
        </w:rPr>
        <w:t xml:space="preserve">Sobornicitatea - universalitatea creştină în formă de koinonia </w:t>
      </w:r>
      <w:r w:rsidRPr="003E023F">
        <w:rPr>
          <w:rStyle w:val="FootnoteReference"/>
          <w:i/>
          <w:szCs w:val="24"/>
        </w:rPr>
        <w:footnoteReference w:id="135"/>
      </w:r>
      <w:r w:rsidRPr="003E023F">
        <w:rPr>
          <w:i/>
          <w:szCs w:val="24"/>
        </w:rPr>
        <w:t xml:space="preserve">  </w:t>
      </w:r>
    </w:p>
    <w:p w:rsidR="00572744" w:rsidRPr="003E023F" w:rsidRDefault="00572744" w:rsidP="00572744">
      <w:pPr>
        <w:tabs>
          <w:tab w:val="left" w:pos="1418"/>
        </w:tabs>
        <w:ind w:left="-1350" w:right="-990" w:firstLine="851"/>
        <w:jc w:val="both"/>
        <w:rPr>
          <w:i/>
          <w:szCs w:val="24"/>
        </w:rPr>
      </w:pPr>
    </w:p>
    <w:p w:rsidR="00572744" w:rsidRPr="003E023F" w:rsidRDefault="00572744" w:rsidP="00572744">
      <w:pPr>
        <w:tabs>
          <w:tab w:val="left" w:pos="1418"/>
        </w:tabs>
        <w:ind w:left="-1350" w:right="-990" w:firstLine="851"/>
        <w:jc w:val="both"/>
        <w:rPr>
          <w:szCs w:val="24"/>
        </w:rPr>
      </w:pPr>
      <w:r w:rsidRPr="003E023F">
        <w:rPr>
          <w:szCs w:val="24"/>
        </w:rPr>
        <w:t xml:space="preserve">Scriind despre </w:t>
      </w:r>
      <w:r w:rsidRPr="003E023F">
        <w:rPr>
          <w:i/>
          <w:szCs w:val="24"/>
        </w:rPr>
        <w:t xml:space="preserve">Sobornicitatea generală a Bisericii, </w:t>
      </w:r>
      <w:r w:rsidRPr="003E023F">
        <w:rPr>
          <w:szCs w:val="24"/>
        </w:rPr>
        <w:t xml:space="preserve">Părintele Stăniloae se referă la : a) </w:t>
      </w:r>
      <w:r w:rsidRPr="003E023F">
        <w:rPr>
          <w:i/>
          <w:szCs w:val="24"/>
        </w:rPr>
        <w:t xml:space="preserve">Sobornicitatea ca unitate a persoanelor în varietate complementară şi, </w:t>
      </w:r>
      <w:r w:rsidRPr="003E023F">
        <w:rPr>
          <w:szCs w:val="24"/>
        </w:rPr>
        <w:t xml:space="preserve">b) </w:t>
      </w:r>
      <w:r w:rsidRPr="003E023F">
        <w:rPr>
          <w:i/>
          <w:szCs w:val="24"/>
        </w:rPr>
        <w:t>Sobornicitatea drept comuniune şi plenitudine în Duhul Sfânt.</w:t>
      </w:r>
      <w:r w:rsidRPr="003E023F">
        <w:rPr>
          <w:szCs w:val="24"/>
        </w:rPr>
        <w:t xml:space="preserve"> Dar în primul rând trebuie precizat cum se explică termenul </w:t>
      </w:r>
      <w:r w:rsidRPr="003E023F">
        <w:rPr>
          <w:i/>
          <w:szCs w:val="24"/>
        </w:rPr>
        <w:t>sobornicitate</w:t>
      </w:r>
      <w:r w:rsidRPr="003E023F">
        <w:rPr>
          <w:szCs w:val="24"/>
        </w:rPr>
        <w:t xml:space="preserve">? Traducătorii slavi ai Crezului niceo-constantinopolitan au redat termenul grec </w:t>
      </w:r>
      <w:r w:rsidRPr="003E023F">
        <w:rPr>
          <w:i/>
          <w:szCs w:val="24"/>
        </w:rPr>
        <w:t>catholike</w:t>
      </w:r>
      <w:r w:rsidRPr="003E023F">
        <w:rPr>
          <w:szCs w:val="24"/>
        </w:rPr>
        <w:t xml:space="preserve"> prin </w:t>
      </w:r>
      <w:r w:rsidRPr="003E023F">
        <w:rPr>
          <w:i/>
          <w:szCs w:val="24"/>
        </w:rPr>
        <w:t>sobornaia</w:t>
      </w:r>
      <w:r w:rsidRPr="003E023F">
        <w:rPr>
          <w:szCs w:val="24"/>
        </w:rPr>
        <w:t xml:space="preserve">, cuvânt care derivă din verbul </w:t>
      </w:r>
      <w:r w:rsidRPr="003E023F">
        <w:rPr>
          <w:i/>
          <w:szCs w:val="24"/>
        </w:rPr>
        <w:t>sobirati</w:t>
      </w:r>
      <w:r w:rsidRPr="003E023F">
        <w:rPr>
          <w:szCs w:val="24"/>
        </w:rPr>
        <w:t xml:space="preserve"> (a aduna la un loc, a reuni, a forma o unitate), iar acesta din radicalul </w:t>
      </w:r>
      <w:r w:rsidRPr="003E023F">
        <w:rPr>
          <w:i/>
          <w:szCs w:val="24"/>
        </w:rPr>
        <w:t xml:space="preserve">sobor </w:t>
      </w:r>
      <w:r w:rsidRPr="003E023F">
        <w:rPr>
          <w:szCs w:val="24"/>
        </w:rPr>
        <w:t>(adunare, grupare la un loc)</w:t>
      </w:r>
      <w:r w:rsidRPr="003E023F">
        <w:rPr>
          <w:rStyle w:val="FootnoteReference"/>
          <w:szCs w:val="24"/>
        </w:rPr>
        <w:footnoteReference w:id="136"/>
      </w:r>
      <w:r w:rsidRPr="003E023F">
        <w:rPr>
          <w:szCs w:val="24"/>
        </w:rPr>
        <w:t xml:space="preserve">. Biserica este sobornicească deoarece are misiunea de a aduna într-o unitate, de a uni într-un tot întreaga lume. “A trăi în Biserica sobornicescă înseamnă a trăi în </w:t>
      </w:r>
      <w:r w:rsidRPr="003E023F">
        <w:rPr>
          <w:i/>
          <w:szCs w:val="24"/>
        </w:rPr>
        <w:t>sobornicitate</w:t>
      </w:r>
      <w:r w:rsidRPr="003E023F">
        <w:rPr>
          <w:szCs w:val="24"/>
        </w:rPr>
        <w:t xml:space="preserve">, adică în unitate internă de credinţă şi în unitate externă de fapte şi manifestări, a trăi după rânduiala întregului care înlătură izolarea şi rămânerea în afara acestui întreg. Pentru a exprima trăirea în </w:t>
      </w:r>
      <w:r w:rsidRPr="003E023F">
        <w:rPr>
          <w:i/>
          <w:szCs w:val="24"/>
        </w:rPr>
        <w:t>sobornicitate</w:t>
      </w:r>
      <w:r w:rsidRPr="003E023F">
        <w:rPr>
          <w:szCs w:val="24"/>
        </w:rPr>
        <w:t xml:space="preserve"> slavii au cuvântul “</w:t>
      </w:r>
      <w:r w:rsidRPr="003E023F">
        <w:rPr>
          <w:i/>
          <w:szCs w:val="24"/>
        </w:rPr>
        <w:t>sobornost”</w:t>
      </w:r>
      <w:r w:rsidRPr="003E023F">
        <w:rPr>
          <w:szCs w:val="24"/>
        </w:rPr>
        <w:t xml:space="preserve"> care arată tocmai împărtăşirea din </w:t>
      </w:r>
      <w:r w:rsidRPr="003E023F">
        <w:rPr>
          <w:i/>
          <w:szCs w:val="24"/>
        </w:rPr>
        <w:t>sobornicitate”</w:t>
      </w:r>
      <w:r w:rsidRPr="003E023F">
        <w:rPr>
          <w:rStyle w:val="FootnoteReference"/>
          <w:i/>
          <w:szCs w:val="24"/>
        </w:rPr>
        <w:footnoteReference w:id="137"/>
      </w:r>
      <w:r w:rsidRPr="003E023F">
        <w:rPr>
          <w:i/>
          <w:szCs w:val="24"/>
        </w:rPr>
        <w:t>-</w:t>
      </w:r>
      <w:r w:rsidRPr="003E023F">
        <w:rPr>
          <w:szCs w:val="24"/>
        </w:rPr>
        <w:t xml:space="preserve"> se ştie, însă, că slavofilii au promovat ideea de “sobornost” ca unitate şi comunitarism sub forma unui  catolicism voalat. </w:t>
      </w:r>
    </w:p>
    <w:p w:rsidR="00572744" w:rsidRPr="003E023F" w:rsidRDefault="00572744" w:rsidP="00572744">
      <w:pPr>
        <w:tabs>
          <w:tab w:val="left" w:pos="1418"/>
        </w:tabs>
        <w:ind w:left="-1350" w:right="-990" w:firstLine="851"/>
        <w:jc w:val="both"/>
        <w:rPr>
          <w:szCs w:val="24"/>
        </w:rPr>
      </w:pPr>
      <w:r w:rsidRPr="003E023F">
        <w:rPr>
          <w:szCs w:val="24"/>
        </w:rPr>
        <w:t>Numind Biserica “sobornicească”, precizează părintele Stăniloae, sensul este mai apropiat de  cel al apelativului “catolică”, deoarece se exprimă “modul sinodal de păstrare a învăţăturii Bisericii la nivel episcopal, dar şi modul general comunitar al practicării învăţăturii. Toată Biserica este un Sinod permanent, o comuniune [</w:t>
      </w:r>
      <w:r w:rsidRPr="003E023F">
        <w:rPr>
          <w:i/>
          <w:szCs w:val="24"/>
        </w:rPr>
        <w:t>koinonia],</w:t>
      </w:r>
      <w:r w:rsidRPr="003E023F">
        <w:rPr>
          <w:szCs w:val="24"/>
        </w:rPr>
        <w:t xml:space="preserve"> o convergenţă şi o conlucrare permanentă a tuturor membrilor ei, căci numai în această stare se </w:t>
      </w:r>
      <w:r w:rsidRPr="003E023F">
        <w:rPr>
          <w:szCs w:val="24"/>
        </w:rPr>
        <w:lastRenderedPageBreak/>
        <w:t>păstrează şi se valorifică bunurile ei spirituale. În timpul nostru această sinodalitate generală e redată prin ideea de comuniune,[</w:t>
      </w:r>
      <w:r w:rsidRPr="003E023F">
        <w:rPr>
          <w:i/>
          <w:szCs w:val="24"/>
        </w:rPr>
        <w:t>koinonia</w:t>
      </w:r>
      <w:r w:rsidRPr="003E023F">
        <w:rPr>
          <w:szCs w:val="24"/>
        </w:rPr>
        <w:t>] care implică pe aceea de complementaritate”</w:t>
      </w:r>
      <w:r w:rsidRPr="003E023F">
        <w:rPr>
          <w:rStyle w:val="FootnoteReference"/>
          <w:szCs w:val="24"/>
        </w:rPr>
        <w:footnoteReference w:id="138"/>
      </w:r>
      <w:r w:rsidRPr="003E023F">
        <w:rPr>
          <w:szCs w:val="24"/>
        </w:rPr>
        <w:t>.</w:t>
      </w:r>
      <w:r w:rsidRPr="003E023F">
        <w:rPr>
          <w:i/>
          <w:szCs w:val="24"/>
        </w:rPr>
        <w:t xml:space="preserve"> </w:t>
      </w:r>
      <w:r w:rsidRPr="003E023F">
        <w:rPr>
          <w:szCs w:val="24"/>
        </w:rPr>
        <w:t xml:space="preserve">Într-un studiu anterior menţiona cele trei accepţiuni mai cunoscute ale termenului </w:t>
      </w:r>
      <w:r w:rsidRPr="003E023F">
        <w:rPr>
          <w:i/>
          <w:szCs w:val="24"/>
        </w:rPr>
        <w:t xml:space="preserve">sobornicitate: </w:t>
      </w:r>
      <w:r w:rsidRPr="003E023F">
        <w:rPr>
          <w:szCs w:val="24"/>
        </w:rPr>
        <w:t>cea romano-catolică:</w:t>
      </w:r>
      <w:r>
        <w:rPr>
          <w:szCs w:val="24"/>
        </w:rPr>
        <w:t xml:space="preserve"> </w:t>
      </w:r>
      <w:r w:rsidRPr="003E023F">
        <w:rPr>
          <w:szCs w:val="24"/>
        </w:rPr>
        <w:t>universalitate, cea anglicană: integritatea doctrinei, iar din perspectivă ortodoxă se accentuează „sensul participării active a tuturor credincioşilor la bunurile spirituale ale lui Hristos în duhul deplinei comuniuni, aceasta constituind însăşi Biserica în calitate de organism sau de trup al lui Hristos. Sensul ortodox nu exclude, ci le include pe celelalte două: această comuniune ar îmbogăţii cu atât mai mult pe fiecare, cu cât ar cuprinde mai mulţi membri, dacă e posibil pe toţi creştinii şi pe toţi oamenii”</w:t>
      </w:r>
      <w:r w:rsidRPr="003E023F">
        <w:rPr>
          <w:rStyle w:val="FootnoteReference"/>
          <w:szCs w:val="24"/>
        </w:rPr>
        <w:footnoteReference w:id="139"/>
      </w:r>
      <w:r w:rsidRPr="003E023F">
        <w:rPr>
          <w:szCs w:val="24"/>
        </w:rPr>
        <w:t xml:space="preserve">. </w:t>
      </w:r>
      <w:r w:rsidRPr="003E023F">
        <w:rPr>
          <w:i/>
          <w:szCs w:val="24"/>
        </w:rPr>
        <w:t xml:space="preserve"> </w:t>
      </w:r>
    </w:p>
    <w:p w:rsidR="00572744" w:rsidRPr="003E023F" w:rsidRDefault="00572744" w:rsidP="00572744">
      <w:pPr>
        <w:tabs>
          <w:tab w:val="left" w:pos="1418"/>
        </w:tabs>
        <w:ind w:left="-1350" w:right="-990" w:firstLine="851"/>
        <w:jc w:val="both"/>
        <w:rPr>
          <w:szCs w:val="24"/>
        </w:rPr>
      </w:pPr>
      <w:r w:rsidRPr="003E023F">
        <w:rPr>
          <w:szCs w:val="24"/>
        </w:rPr>
        <w:t xml:space="preserve">Însuşirea de a fi sobornicească arată de ce natură este unitatea Bisericii, aceasta fiind “realizată şi menţinută prin  convergenţa, comuniunea, complementaritatea unanimă a membrilor ei, nu printr-o simplă alăturare sau printr-o contopire a tuturor într-un tot uniform. Deci sinodalitatea sau sobornicitatea implică sensul Bisericii ca întreg organic-spiritual şi prin aceasta se apropie de înţelesul adevărat al termenului “catolică”, fără să-l exprime direct. Adică sinodalitatea sau sobornicitatea exprimă poziţia şi lucrarea complementară a membrilor Bisericii, ca într-un corp adevărat, şi nu cauza ei, cum o exprimă termenul  “catolică”. O redare directă a sensului termenului ”catolicitate” ne-ar oferi-o termenul de “întregime”- </w:t>
      </w:r>
      <w:r w:rsidRPr="003E023F">
        <w:rPr>
          <w:i/>
          <w:szCs w:val="24"/>
        </w:rPr>
        <w:t>holon</w:t>
      </w:r>
      <w:r w:rsidRPr="003E023F">
        <w:rPr>
          <w:szCs w:val="24"/>
        </w:rPr>
        <w:t xml:space="preserve">  sau de plenitudine”</w:t>
      </w:r>
      <w:r w:rsidRPr="003E023F">
        <w:rPr>
          <w:rStyle w:val="FootnoteReference"/>
          <w:szCs w:val="24"/>
        </w:rPr>
        <w:footnoteReference w:id="140"/>
      </w:r>
      <w:r w:rsidRPr="003E023F">
        <w:rPr>
          <w:szCs w:val="24"/>
        </w:rPr>
        <w:t xml:space="preserve">.    </w:t>
      </w:r>
    </w:p>
    <w:p w:rsidR="00572744" w:rsidRPr="003E023F" w:rsidRDefault="00572744" w:rsidP="00572744">
      <w:pPr>
        <w:tabs>
          <w:tab w:val="left" w:pos="1418"/>
        </w:tabs>
        <w:ind w:left="-1350" w:right="-990" w:firstLine="851"/>
        <w:jc w:val="both"/>
        <w:rPr>
          <w:szCs w:val="24"/>
        </w:rPr>
      </w:pPr>
      <w:r w:rsidRPr="003E023F">
        <w:rPr>
          <w:szCs w:val="24"/>
        </w:rPr>
        <w:t xml:space="preserve"> “</w:t>
      </w:r>
      <w:r w:rsidRPr="003E023F">
        <w:rPr>
          <w:i/>
          <w:szCs w:val="24"/>
        </w:rPr>
        <w:t xml:space="preserve">Sobornicitatea </w:t>
      </w:r>
      <w:r w:rsidRPr="003E023F">
        <w:rPr>
          <w:szCs w:val="24"/>
        </w:rPr>
        <w:t xml:space="preserve"> trebuie să fie nu numai o teorie, ci şi o practică. </w:t>
      </w:r>
      <w:r w:rsidRPr="003E023F">
        <w:rPr>
          <w:i/>
          <w:szCs w:val="24"/>
        </w:rPr>
        <w:t xml:space="preserve">Sobornicitatea </w:t>
      </w:r>
      <w:r w:rsidRPr="003E023F">
        <w:rPr>
          <w:szCs w:val="24"/>
        </w:rPr>
        <w:t>trebuie să fie de fapt o trăire a credinţei într-o comuniune vie; ea e universalitatea creştină în formă de comuniune [</w:t>
      </w:r>
      <w:r w:rsidRPr="003E023F">
        <w:rPr>
          <w:i/>
          <w:szCs w:val="24"/>
        </w:rPr>
        <w:t>koinonia</w:t>
      </w:r>
      <w:r w:rsidRPr="003E023F">
        <w:rPr>
          <w:szCs w:val="24"/>
        </w:rPr>
        <w:t>]</w:t>
      </w:r>
      <w:r w:rsidRPr="003E023F">
        <w:rPr>
          <w:rStyle w:val="FootnoteReference"/>
          <w:szCs w:val="24"/>
        </w:rPr>
        <w:footnoteReference w:id="141"/>
      </w:r>
      <w:r w:rsidRPr="003E023F">
        <w:rPr>
          <w:i/>
          <w:szCs w:val="24"/>
        </w:rPr>
        <w:t xml:space="preserve">. </w:t>
      </w:r>
      <w:r w:rsidRPr="003E023F">
        <w:rPr>
          <w:szCs w:val="24"/>
        </w:rPr>
        <w:t xml:space="preserve">Trebuie să cuprindă totul valorizat prin trăire, fiind şi “unitatea atotcuprinzătoare a învăţăturii creştine trăite de comunitatea universală şi liberă a creştinilor”. Mai mult, </w:t>
      </w:r>
      <w:r w:rsidRPr="003E023F">
        <w:rPr>
          <w:i/>
          <w:szCs w:val="24"/>
        </w:rPr>
        <w:t xml:space="preserve">sobornicitatea </w:t>
      </w:r>
      <w:r w:rsidRPr="003E023F">
        <w:rPr>
          <w:szCs w:val="24"/>
        </w:rPr>
        <w:t>este văzută ca “soborul a toată lumea, în care toţi creştinii îşi aduc înţelegerea întregii realităţi divine revelate şi a întregii realităţi umane văzute  în lumina revelaţiei integrale, pentru a o împărtăşi tuturor şi pentru ca fiecare să se împărtăşească de înţelegerea tuturor. Soborul sufletelor trebuie să realizeze sau să valorifice soborul sau sobornicitatea ideilor, o armonie a tuturor înţelegerilor şi a înţelegerii de către toţi a tuturor  aspectelor realităţii divine şi umane revelate. Evanghelia în totalitatea cuprinsului ei reflectă înţelegerea întregii realităţi umane, şi Biserica, menţinându-o, are în principiu această înţelegere universală în formă de comuniune [</w:t>
      </w:r>
      <w:r w:rsidRPr="003E023F">
        <w:rPr>
          <w:i/>
          <w:szCs w:val="24"/>
        </w:rPr>
        <w:t>koinonia</w:t>
      </w:r>
      <w:r w:rsidRPr="003E023F">
        <w:rPr>
          <w:szCs w:val="24"/>
        </w:rPr>
        <w:t>]</w:t>
      </w:r>
      <w:r w:rsidRPr="003E023F">
        <w:rPr>
          <w:i/>
          <w:szCs w:val="24"/>
        </w:rPr>
        <w:t xml:space="preserve"> </w:t>
      </w:r>
      <w:r w:rsidRPr="003E023F">
        <w:rPr>
          <w:szCs w:val="24"/>
        </w:rPr>
        <w:t>sau de sobor”</w:t>
      </w:r>
      <w:r w:rsidRPr="003E023F">
        <w:rPr>
          <w:rStyle w:val="FootnoteReference"/>
          <w:szCs w:val="24"/>
        </w:rPr>
        <w:footnoteReference w:id="142"/>
      </w:r>
      <w:r w:rsidRPr="003E023F">
        <w:rPr>
          <w:szCs w:val="24"/>
        </w:rPr>
        <w:t>. Deşi afirmă că, în principiu, Ortodoxia păstrează integral învăţătura creştină: “Biserica Ortodoxă, păstrând şi practicând până azi Tradiţia apostolică, a păstrat şi practicat până azi Revelaţia integrală în Hristos prin Duhul Sfânt. Prin Tradiţie, credincioşii Bisericii Ortodoxe se bucură de toată lucrarea mântuitoare a lui Hristos în cadrul ei, sau de comuniunea cu Hristos în integritatea Lui”</w:t>
      </w:r>
      <w:r w:rsidRPr="003E023F">
        <w:rPr>
          <w:rStyle w:val="FootnoteReference"/>
          <w:szCs w:val="24"/>
        </w:rPr>
        <w:footnoteReference w:id="143"/>
      </w:r>
      <w:r w:rsidRPr="003E023F">
        <w:rPr>
          <w:szCs w:val="24"/>
        </w:rPr>
        <w:t>, totuşi, părintele Stăniloae adaugă faptul că la explicitarea contemporană a învăţăturii de credinţă, la înţelegerea ei tot mai concretă, mai amănunţită, mai adâncită şi mai vie, corespunzător cu nivelul intelectual general al fiecărui timp, “sunt chemaţi să-şi aducă o contribuţie şi tradiţiile altor formaţiuni creştine, chiar dacă ele au reţinut aspecte mai puţine sau au accentuat prea exclusiv pe unele din totalitatea realităţii spirituale divino-umane a creştinismului”</w:t>
      </w:r>
      <w:r w:rsidRPr="003E023F">
        <w:rPr>
          <w:rStyle w:val="FootnoteReference"/>
          <w:szCs w:val="24"/>
        </w:rPr>
        <w:footnoteReference w:id="144"/>
      </w:r>
      <w:r w:rsidRPr="003E023F">
        <w:rPr>
          <w:szCs w:val="24"/>
        </w:rPr>
        <w:t>.</w:t>
      </w:r>
    </w:p>
    <w:p w:rsidR="00572744" w:rsidRPr="003E023F" w:rsidRDefault="00572744" w:rsidP="00572744">
      <w:pPr>
        <w:tabs>
          <w:tab w:val="left" w:pos="1418"/>
        </w:tabs>
        <w:ind w:left="-1350" w:right="-990" w:firstLine="851"/>
        <w:jc w:val="both"/>
        <w:rPr>
          <w:szCs w:val="24"/>
        </w:rPr>
      </w:pPr>
      <w:r w:rsidRPr="003E023F">
        <w:rPr>
          <w:szCs w:val="24"/>
        </w:rPr>
        <w:t xml:space="preserve"> Prin urmare, se pune problema depăşirii de către toţi creştinii, a diversităţii modalităţilor în care se revelează Dumnezeu şi în care Îl înţelegem în unitatea Sa integrală, cea mai presus de toate aceste moduri diverse de revelare. Dumnezeu foloseşte, pentru a se face cunoscut, acte, cuvinte şi imagini</w:t>
      </w:r>
      <w:r w:rsidRPr="003E023F">
        <w:rPr>
          <w:rStyle w:val="FootnoteReference"/>
          <w:szCs w:val="24"/>
        </w:rPr>
        <w:footnoteReference w:id="145"/>
      </w:r>
      <w:r w:rsidRPr="003E023F">
        <w:rPr>
          <w:szCs w:val="24"/>
        </w:rPr>
        <w:t xml:space="preserve"> mereu diferite, prin toate Se revelează, dar fiinţa Sa rămâne mereu incognoscibilă. De aceea “nu trebuie să ne ataşăm la nici unul şi nici la toate la un loc, ca la ultima realitate, cum spun Bonhoefer şi Congar, căci toate sunt numai penultimele</w:t>
      </w:r>
      <w:r w:rsidRPr="003E023F">
        <w:rPr>
          <w:rStyle w:val="FootnoteReference"/>
          <w:szCs w:val="24"/>
        </w:rPr>
        <w:footnoteReference w:id="146"/>
      </w:r>
      <w:r w:rsidRPr="003E023F">
        <w:rPr>
          <w:szCs w:val="24"/>
        </w:rPr>
        <w:t xml:space="preserve">. Mai </w:t>
      </w:r>
      <w:r w:rsidRPr="003E023F">
        <w:rPr>
          <w:szCs w:val="24"/>
        </w:rPr>
        <w:lastRenderedPageBreak/>
        <w:t xml:space="preserve">mult, accentuează marele teolog român, trebuie să admitem şi moduri noi de a exprima pe Dumnezeu, mai bine-zis legătura noastră cu El. Aceasta înseamnă recunoaşterea tuturor modurilor creştine de exprimare de până acum a lui Dumnezeu ca având o valoare, dar şi o anumită conştiinţă a nedeplinătăţii, a relativităţii lor. </w:t>
      </w:r>
      <w:r w:rsidRPr="003E023F">
        <w:rPr>
          <w:i/>
          <w:szCs w:val="24"/>
        </w:rPr>
        <w:t>Amândouă aceste atitudini ale conştiinţei creştine ne pot ajuta să înaintăm pe drumul unităţii dintre creştini</w:t>
      </w:r>
      <w:r w:rsidRPr="003E023F">
        <w:rPr>
          <w:szCs w:val="24"/>
        </w:rPr>
        <w:t>(s.n.)”</w:t>
      </w:r>
      <w:r w:rsidRPr="003E023F">
        <w:rPr>
          <w:rStyle w:val="FootnoteReference"/>
          <w:szCs w:val="24"/>
        </w:rPr>
        <w:footnoteReference w:id="147"/>
      </w:r>
      <w:r w:rsidRPr="003E023F">
        <w:rPr>
          <w:szCs w:val="24"/>
        </w:rPr>
        <w:t xml:space="preserve">. </w:t>
      </w:r>
    </w:p>
    <w:p w:rsidR="00572744" w:rsidRPr="003E023F" w:rsidRDefault="00572744" w:rsidP="00572744">
      <w:pPr>
        <w:tabs>
          <w:tab w:val="left" w:pos="1418"/>
        </w:tabs>
        <w:ind w:left="-1350" w:right="-990" w:firstLine="851"/>
        <w:jc w:val="both"/>
        <w:rPr>
          <w:szCs w:val="24"/>
        </w:rPr>
      </w:pPr>
      <w:r w:rsidRPr="003E023F">
        <w:rPr>
          <w:szCs w:val="24"/>
        </w:rPr>
        <w:t xml:space="preserve">Dar </w:t>
      </w:r>
      <w:r w:rsidRPr="003E023F">
        <w:rPr>
          <w:i/>
          <w:szCs w:val="24"/>
        </w:rPr>
        <w:t>sobornicitatea</w:t>
      </w:r>
      <w:r w:rsidRPr="003E023F">
        <w:rPr>
          <w:szCs w:val="24"/>
        </w:rPr>
        <w:t xml:space="preserve"> nu este numai cuprinderea tuturor modurilor de revelare şi de exprimare a lui Dumnezeu, şi a tuturor modurilor de înţelegere şi a răspunsurilor mereu mai aprofundate, ci şi “o deschidere mereu mai înţelegătoare şi mai cuprinzătoare spre Dumnezeu cel mai presus de ele, o înaintare continuă în bogăţia Lui spirituală infinită. (...) Sobornicitatea aceasta deschisă, transparentă şi continuu depăşită implică însă şi un anumit pluralism teologic sau de înţelegere în Dumnezeu (având în vedere că orice înţelegere sau efort de înţelegere în Dumnezeu, chiar al credinciosului celui mai modest, este o teologie) a tuturor înţelegerilor altora, ca cuprinse în misterul apofatic al lui Dumnezeu. Duhul sobornicesc al cuiva implică un anumit pluralism, întrucât, înţelegând misterul apofatic al lui Dumnezeu în care sunt cuprinse toate, are o deschidere şi pentru cel ce nu are aceeaşi largă înţelegere ca el a tuturor aspectelor realităţii, </w:t>
      </w:r>
      <w:r w:rsidRPr="003E023F">
        <w:rPr>
          <w:i/>
          <w:szCs w:val="24"/>
        </w:rPr>
        <w:t xml:space="preserve"> ştiind că şi înţelegerea mai îngustă a lui  sesizează tot ceva din Dumnezeu</w:t>
      </w:r>
      <w:r w:rsidRPr="003E023F">
        <w:rPr>
          <w:szCs w:val="24"/>
        </w:rPr>
        <w:t xml:space="preserve"> (s.n.). (…) Aşa se produce o înţelegere simfonică a tuturor, în care înţelegerile lor se interpenetrează, comunică între ele, fără să se uniformizeze. Iar prin aceasta, se realizează o înţelegere comună mai corespunzătoare a realităţii divine, mereu mai presus de orice înţelegere comună realizată. (…) În această sobornicitate sau universalitate deschisă, transparentă şi într-o continuă mişcare de depăşire în sens vertical şi orizontal, primesc o valoare nu numai chipurile şi formele din Biserică, sau din lumea creştină, ci toate ale lumii”</w:t>
      </w:r>
      <w:r w:rsidRPr="003E023F">
        <w:rPr>
          <w:rStyle w:val="FootnoteReference"/>
          <w:szCs w:val="24"/>
        </w:rPr>
        <w:footnoteReference w:id="148"/>
      </w:r>
      <w:r w:rsidRPr="003E023F">
        <w:rPr>
          <w:szCs w:val="24"/>
        </w:rPr>
        <w:t xml:space="preserve"> ( avem aici subliniată dimensiunea cosmică a creştinismului n.n.).   </w:t>
      </w:r>
    </w:p>
    <w:p w:rsidR="00572744" w:rsidRPr="003E023F" w:rsidRDefault="00572744" w:rsidP="00572744">
      <w:pPr>
        <w:tabs>
          <w:tab w:val="left" w:pos="1418"/>
        </w:tabs>
        <w:ind w:left="-1350" w:right="-990" w:firstLine="851"/>
        <w:jc w:val="both"/>
        <w:rPr>
          <w:szCs w:val="24"/>
        </w:rPr>
      </w:pPr>
      <w:r w:rsidRPr="003E023F">
        <w:rPr>
          <w:szCs w:val="24"/>
        </w:rPr>
        <w:t xml:space="preserve">Dacă ar fi să rezumăm sensul conceptului </w:t>
      </w:r>
      <w:r w:rsidRPr="003E023F">
        <w:rPr>
          <w:i/>
          <w:szCs w:val="24"/>
        </w:rPr>
        <w:t>sobornicitate deschisă,</w:t>
      </w:r>
      <w:r w:rsidRPr="003E023F">
        <w:rPr>
          <w:szCs w:val="24"/>
        </w:rPr>
        <w:t xml:space="preserve"> credem că am putea spune că acest concept ar însemna: cunoaşterea, înţelegerea, trăirea-experierea, mărturisirea, valorificarea şi actualizarea credinţei Apostolilor în integralitatea sa, la care sunt chemaţi toţi creştinii - uniţi după fiinţă, dar diverşi după persoane, familie, neam şi tradiţii, fiind prinşi în ţesătura dialogică între ei înşişi şi între ei şi Dumnezeu</w:t>
      </w:r>
      <w:r w:rsidRPr="003E023F">
        <w:rPr>
          <w:rStyle w:val="FootnoteReference"/>
          <w:szCs w:val="24"/>
        </w:rPr>
        <w:footnoteReference w:id="149"/>
      </w:r>
      <w:r w:rsidRPr="003E023F">
        <w:rPr>
          <w:szCs w:val="24"/>
        </w:rPr>
        <w:t>-  într-o comuniune (</w:t>
      </w:r>
      <w:r w:rsidRPr="003E023F">
        <w:rPr>
          <w:i/>
          <w:szCs w:val="24"/>
        </w:rPr>
        <w:t>koinonia</w:t>
      </w:r>
      <w:r w:rsidRPr="003E023F">
        <w:rPr>
          <w:szCs w:val="24"/>
        </w:rPr>
        <w:t xml:space="preserve">) ce poate deveni tot mai accentuată, pe măsură ce ei tind ca toată viaţa lor să se desfăşoare “potrivit întregului”- conform plenitudinii ( </w:t>
      </w:r>
      <w:r w:rsidRPr="003E023F">
        <w:rPr>
          <w:i/>
          <w:szCs w:val="24"/>
        </w:rPr>
        <w:t>kata</w:t>
      </w:r>
      <w:r w:rsidRPr="003E023F">
        <w:rPr>
          <w:szCs w:val="24"/>
        </w:rPr>
        <w:t xml:space="preserve">-potrivit, conform; </w:t>
      </w:r>
      <w:r w:rsidRPr="003E023F">
        <w:rPr>
          <w:i/>
          <w:szCs w:val="24"/>
        </w:rPr>
        <w:t>holon</w:t>
      </w:r>
      <w:r w:rsidRPr="003E023F">
        <w:rPr>
          <w:szCs w:val="24"/>
        </w:rPr>
        <w:t>-întreg</w:t>
      </w:r>
      <w:r w:rsidRPr="003E023F">
        <w:rPr>
          <w:i/>
          <w:szCs w:val="24"/>
        </w:rPr>
        <w:t>, secundum totum, quia per totum est,“</w:t>
      </w:r>
      <w:r w:rsidRPr="003E023F">
        <w:rPr>
          <w:szCs w:val="24"/>
        </w:rPr>
        <w:t xml:space="preserve">exprimă o totalitate care nu este geografică, orizontală, cantitativă, opusă oricărei fragmentări a dogmei.  </w:t>
      </w:r>
      <w:r w:rsidRPr="003E023F">
        <w:rPr>
          <w:i/>
          <w:szCs w:val="24"/>
        </w:rPr>
        <w:t>Acolo unde este Hristos Iisus, acolo este Biserica universală- catholică</w:t>
      </w:r>
      <w:r w:rsidRPr="003E023F">
        <w:rPr>
          <w:rStyle w:val="FootnoteReference"/>
          <w:szCs w:val="24"/>
        </w:rPr>
        <w:footnoteReference w:id="150"/>
      </w:r>
      <w:r w:rsidRPr="003E023F">
        <w:rPr>
          <w:szCs w:val="24"/>
        </w:rPr>
        <w:t>, arată această unitate a plinătăţii care nu depinde nicidecum de condiţii istorice, spaţiale şi cantitative”</w:t>
      </w:r>
      <w:r w:rsidRPr="003E023F">
        <w:rPr>
          <w:rStyle w:val="FootnoteReference"/>
          <w:szCs w:val="24"/>
        </w:rPr>
        <w:footnoteReference w:id="151"/>
      </w:r>
      <w:r w:rsidRPr="003E023F">
        <w:rPr>
          <w:szCs w:val="24"/>
        </w:rPr>
        <w:t xml:space="preserve">. - acesta ar fi sensul </w:t>
      </w:r>
      <w:r w:rsidRPr="003E023F">
        <w:rPr>
          <w:i/>
          <w:szCs w:val="24"/>
        </w:rPr>
        <w:t xml:space="preserve">catholicităţii </w:t>
      </w:r>
      <w:r w:rsidRPr="003E023F">
        <w:rPr>
          <w:szCs w:val="24"/>
        </w:rPr>
        <w:t xml:space="preserve">Bisericii).   Totodată, părintele Stăniloae mai precizează că pentru împărtăşirea de </w:t>
      </w:r>
      <w:r w:rsidRPr="003E023F">
        <w:rPr>
          <w:i/>
          <w:szCs w:val="24"/>
        </w:rPr>
        <w:t>catholicitate</w:t>
      </w:r>
      <w:r w:rsidRPr="003E023F">
        <w:rPr>
          <w:szCs w:val="24"/>
        </w:rPr>
        <w:t xml:space="preserve"> trebuie să se menţină comuniunea deplină cu întregul organism eclesial: “Biserica este un întreg organic, un organism sau un corp spiritual, o plenitudine care are totul, iar acest tot, această plenitudine e prezentă şi eficientă în fiecare din mădularele ei, din actele ei, din părţile ei. Înţelesul acesta al Bisericii precizează înţelesul ei de «corp» al lui Hristos. (…) Biserica are pe Hristos întreg cu toate darurile Lui mântuitoare şi îndumnezeitoare şi fiecare Biserică locală şi chiar fiecare credincios Îl are întreg, dar numai întrucât rămâne în «întregul» corpului. Aşa cum în orice celulă a unui corp e corpul întreg cu lucrarea lui, cu specificul lui, aşa este în orice mădular sau parte a ei Biserica întreagă şi prin aceasta Hristos întreg, dar numai întrucât respectivul mădular, sau respectiva parte a ei rămâne în Biserică. Mădularele nu sunt uniformizate prin aceasta, ci sunt complementare, datorită faptului că viaţa corpului întreg, sau Hristos însuşi prin Duhul Sfânt e prezent în mod activ în toate”</w:t>
      </w:r>
      <w:r w:rsidRPr="003E023F">
        <w:rPr>
          <w:rStyle w:val="FootnoteReference"/>
          <w:szCs w:val="24"/>
        </w:rPr>
        <w:footnoteReference w:id="152"/>
      </w:r>
      <w:r w:rsidRPr="003E023F">
        <w:rPr>
          <w:szCs w:val="24"/>
        </w:rPr>
        <w:t>. Prin urmare, se precizează într-un document ecumenic, “în loc să dezvolte un concept al adevărul universal înţeles din punct de geografic sau cultural</w:t>
      </w:r>
      <w:r>
        <w:rPr>
          <w:szCs w:val="24"/>
        </w:rPr>
        <w:t xml:space="preserve">, Tradiţia ortodoxă a susţinut </w:t>
      </w:r>
      <w:r w:rsidRPr="00284E9A">
        <w:rPr>
          <w:i/>
          <w:szCs w:val="24"/>
        </w:rPr>
        <w:t>catholicitatea</w:t>
      </w:r>
      <w:r w:rsidRPr="003E023F">
        <w:rPr>
          <w:szCs w:val="24"/>
        </w:rPr>
        <w:t xml:space="preserve"> sau adevărul «potrivit întregului» (</w:t>
      </w:r>
      <w:r w:rsidRPr="003E023F">
        <w:rPr>
          <w:i/>
          <w:szCs w:val="24"/>
        </w:rPr>
        <w:t>according to the whole</w:t>
      </w:r>
      <w:r w:rsidRPr="003E023F">
        <w:rPr>
          <w:szCs w:val="24"/>
        </w:rPr>
        <w:t xml:space="preserve">), </w:t>
      </w:r>
      <w:r w:rsidRPr="003E023F">
        <w:rPr>
          <w:szCs w:val="24"/>
        </w:rPr>
        <w:lastRenderedPageBreak/>
        <w:t>exprimat în fiecare comunitate euharistică locală. Aceasta se datorează lucrării Sfântului Duh, Cel care ne călăuzeşte mereu spre deplinătatea adevărului. Prin urmare, catholicitatea credinţei apostolice este experiată şi exprimată de fiecare comunitate de credinţă locală în contextul său specific. (…) Puterea Evangheliei prin credinţa apostolică cea unică, ne poate face receptivi la nevoile variate în cadrul aceluiaşi context sau în diferite contexte. Astfel catholicitatea credinţei apostolice nu este pusă în pericol sau compromisă când Biserica răspunde diferitelor situaţii. Dimpotrivă, Biserica trăieşte şi împlineşte credinţa apostolică cu adevărat, atunci când arată compasiune şi devotament pentru lumea lui Dumnezeu, în diferite epoci şi locuri”</w:t>
      </w:r>
      <w:r w:rsidRPr="003E023F">
        <w:rPr>
          <w:rStyle w:val="FootnoteReference"/>
          <w:szCs w:val="24"/>
        </w:rPr>
        <w:footnoteReference w:id="153"/>
      </w:r>
      <w:r w:rsidRPr="003E023F">
        <w:rPr>
          <w:szCs w:val="24"/>
        </w:rPr>
        <w:t xml:space="preserve">. </w:t>
      </w:r>
    </w:p>
    <w:p w:rsidR="00572744" w:rsidRPr="003E023F" w:rsidRDefault="00572744" w:rsidP="00572744">
      <w:pPr>
        <w:tabs>
          <w:tab w:val="left" w:pos="1418"/>
        </w:tabs>
        <w:ind w:left="-1350" w:right="-990" w:firstLine="851"/>
        <w:jc w:val="both"/>
        <w:rPr>
          <w:szCs w:val="24"/>
        </w:rPr>
      </w:pPr>
      <w:r w:rsidRPr="003E023F">
        <w:rPr>
          <w:i/>
          <w:szCs w:val="24"/>
        </w:rPr>
        <w:t xml:space="preserve">Sobornicitatea </w:t>
      </w:r>
      <w:r w:rsidRPr="003E023F">
        <w:rPr>
          <w:szCs w:val="24"/>
        </w:rPr>
        <w:t>este</w:t>
      </w:r>
      <w:r w:rsidRPr="003E023F">
        <w:rPr>
          <w:i/>
          <w:szCs w:val="24"/>
        </w:rPr>
        <w:t xml:space="preserve"> deschisă</w:t>
      </w:r>
      <w:r w:rsidRPr="003E023F">
        <w:rPr>
          <w:szCs w:val="24"/>
        </w:rPr>
        <w:t xml:space="preserve"> tuturor, dar se împărtăşesc de aceasta numai cei care renunţă la accentuarea excesivă şi aproape exclusivă a unor părţi din credinţa Apostolilor, şi doresc să trăiască “potrivit întregului”, în Biserica deplină, Biserica Ortodoxă. Fapt posibil de realizat deoarece „o tradiţie nu poate dura permanent când e în ea o nedeplinătate, o insuficienţă, pentru că generaţiile următoare îşi dau seama de această nedeplinătate şi caută să o depăşească, sau cel puţin să o întregească printr-o concepţie mai cuprinzătoare, printr-un mod de viaţă lipsit de nedeplinătatea de care suferea cel de până atunci”</w:t>
      </w:r>
      <w:r w:rsidRPr="003E023F">
        <w:rPr>
          <w:rStyle w:val="FootnoteReference"/>
          <w:szCs w:val="24"/>
        </w:rPr>
        <w:footnoteReference w:id="154"/>
      </w:r>
      <w:r w:rsidRPr="003E023F">
        <w:rPr>
          <w:szCs w:val="24"/>
        </w:rPr>
        <w:t xml:space="preserve">. </w:t>
      </w:r>
      <w:r w:rsidRPr="003E023F">
        <w:rPr>
          <w:i/>
          <w:szCs w:val="24"/>
        </w:rPr>
        <w:t xml:space="preserve">Deschiderea </w:t>
      </w:r>
      <w:r w:rsidRPr="003E023F">
        <w:rPr>
          <w:szCs w:val="24"/>
        </w:rPr>
        <w:t xml:space="preserve">aceasta ecumenică nu poate duce nicidecum la relativizarea învăţăturii de credinţă, fiindcă “ecumenismul nu înseamnă a trece peste diferenţele doctrinare, o eliminare a lor sau o minimalizare a lor, deoarece legea vitală a Creştinismului în general este păstrarea unităţii şi integrităţii sale doctrinare”, </w:t>
      </w:r>
      <w:r w:rsidRPr="003E023F">
        <w:rPr>
          <w:i/>
          <w:szCs w:val="24"/>
        </w:rPr>
        <w:t xml:space="preserve">sobornicitatea deschisă </w:t>
      </w:r>
      <w:r w:rsidRPr="003E023F">
        <w:rPr>
          <w:szCs w:val="24"/>
        </w:rPr>
        <w:t>nu înseamnă, în nici un caz, o „Dogmatică creştină deschisă”</w:t>
      </w:r>
      <w:r w:rsidRPr="003E023F">
        <w:rPr>
          <w:rStyle w:val="FootnoteReference"/>
          <w:szCs w:val="24"/>
        </w:rPr>
        <w:footnoteReference w:id="155"/>
      </w:r>
      <w:r w:rsidRPr="003E023F">
        <w:rPr>
          <w:szCs w:val="24"/>
        </w:rPr>
        <w:t>.</w:t>
      </w:r>
    </w:p>
    <w:p w:rsidR="00572744" w:rsidRPr="003E023F" w:rsidRDefault="00572744" w:rsidP="00572744">
      <w:pPr>
        <w:tabs>
          <w:tab w:val="left" w:pos="851"/>
          <w:tab w:val="left" w:pos="1418"/>
        </w:tabs>
        <w:ind w:left="-1350" w:right="-990" w:firstLine="851"/>
        <w:jc w:val="both"/>
        <w:rPr>
          <w:szCs w:val="24"/>
        </w:rPr>
      </w:pPr>
      <w:r w:rsidRPr="003E023F">
        <w:rPr>
          <w:szCs w:val="24"/>
        </w:rPr>
        <w:t xml:space="preserve">În concluzie, Biserica Ortodoxă nu este o </w:t>
      </w:r>
      <w:r w:rsidRPr="003E023F">
        <w:rPr>
          <w:i/>
          <w:szCs w:val="24"/>
        </w:rPr>
        <w:t>confesiune</w:t>
      </w:r>
      <w:r w:rsidRPr="003E023F">
        <w:rPr>
          <w:szCs w:val="24"/>
        </w:rPr>
        <w:t>, deoarece nu se fundamentează pe vreo mărturisire de credinţă ulterioară epocii apostolice, ci este</w:t>
      </w:r>
      <w:r w:rsidRPr="003E023F">
        <w:rPr>
          <w:i/>
          <w:szCs w:val="24"/>
        </w:rPr>
        <w:t xml:space="preserve"> Biserica Una Sancta Catholica</w:t>
      </w:r>
      <w:r w:rsidRPr="003E023F">
        <w:rPr>
          <w:rStyle w:val="FootnoteReference"/>
          <w:szCs w:val="24"/>
        </w:rPr>
        <w:footnoteReference w:id="156"/>
      </w:r>
      <w:r w:rsidRPr="003E023F">
        <w:rPr>
          <w:szCs w:val="24"/>
        </w:rPr>
        <w:t>. Prin urmare nici teologia ortodoxă nu poate fi o teologie confesională,</w:t>
      </w:r>
      <w:r w:rsidRPr="003E023F">
        <w:rPr>
          <w:i/>
          <w:szCs w:val="24"/>
        </w:rPr>
        <w:t xml:space="preserve"> </w:t>
      </w:r>
      <w:r w:rsidRPr="003E023F">
        <w:rPr>
          <w:szCs w:val="24"/>
        </w:rPr>
        <w:t>ci</w:t>
      </w:r>
      <w:r w:rsidRPr="003E023F">
        <w:rPr>
          <w:i/>
          <w:szCs w:val="24"/>
        </w:rPr>
        <w:t xml:space="preserve"> </w:t>
      </w:r>
      <w:r w:rsidRPr="003E023F">
        <w:rPr>
          <w:szCs w:val="24"/>
        </w:rPr>
        <w:t>o</w:t>
      </w:r>
      <w:r w:rsidRPr="003E023F">
        <w:rPr>
          <w:i/>
          <w:szCs w:val="24"/>
        </w:rPr>
        <w:t xml:space="preserve"> teologie ecumenică,</w:t>
      </w:r>
      <w:r w:rsidRPr="003E023F">
        <w:rPr>
          <w:szCs w:val="24"/>
        </w:rPr>
        <w:t xml:space="preserve"> deoarece are ce să transmită oricărei confesiuni, întrucât a păstrat întregul tezaur al credinţei apostolice, fiind Biserica deplină. Această deplinătate va fi simţită şi de “ceilalţi”, şi vor fi atraşi de ea (se cunosc cazurile atâtor teologi sau credincioşi obişnuiţi care au reuşit ca prin studiu şi aleasă viaţă duhovnicească să primească darul lui Dumnezeu şi să îmbrăţişeze credinţa ortodoxă), şi în măsura în care creştinii ortodocşi îşi vor cunoaşte, înţelege, trăi - </w:t>
      </w:r>
      <w:r w:rsidRPr="003E023F">
        <w:rPr>
          <w:i/>
          <w:szCs w:val="24"/>
        </w:rPr>
        <w:t>experia</w:t>
      </w:r>
      <w:r w:rsidRPr="003E023F">
        <w:rPr>
          <w:szCs w:val="24"/>
        </w:rPr>
        <w:t xml:space="preserve"> şi mărturisi această revărsare ecumenică a credinţei lor, urmând modelul sfinţilor, şi nu doar declarativ, formal, uneori chiar în mod fariseic.</w:t>
      </w:r>
      <w:r>
        <w:rPr>
          <w:szCs w:val="24"/>
        </w:rPr>
        <w:t xml:space="preserve"> </w:t>
      </w:r>
      <w:r w:rsidRPr="00090EAD">
        <w:rPr>
          <w:i/>
          <w:szCs w:val="24"/>
        </w:rPr>
        <w:t>S</w:t>
      </w:r>
      <w:r w:rsidRPr="003E023F">
        <w:rPr>
          <w:i/>
          <w:szCs w:val="24"/>
        </w:rPr>
        <w:t xml:space="preserve">obornicitatea deschisă </w:t>
      </w:r>
      <w:r w:rsidRPr="003E023F">
        <w:rPr>
          <w:szCs w:val="24"/>
        </w:rPr>
        <w:t>are şi o perspectivă profetică, deoarece insistă asupra însemnătăţii unităţii creştinilor pentru reconcilierea lumii, fapt realizabil în măsura trecerii lui Hristos pascal în viaţa umană sub “</w:t>
      </w:r>
      <w:r w:rsidRPr="003E023F">
        <w:rPr>
          <w:i/>
          <w:szCs w:val="24"/>
        </w:rPr>
        <w:t>forma Bisericii</w:t>
      </w:r>
      <w:r w:rsidRPr="003E023F">
        <w:rPr>
          <w:szCs w:val="24"/>
        </w:rPr>
        <w:t>”</w:t>
      </w:r>
      <w:r w:rsidRPr="003E023F">
        <w:rPr>
          <w:rStyle w:val="FootnoteReference"/>
          <w:szCs w:val="24"/>
        </w:rPr>
        <w:footnoteReference w:id="157"/>
      </w:r>
      <w:r>
        <w:rPr>
          <w:szCs w:val="24"/>
        </w:rPr>
        <w:t xml:space="preserve"> depline, </w:t>
      </w:r>
      <w:r w:rsidRPr="003E023F">
        <w:rPr>
          <w:szCs w:val="24"/>
        </w:rPr>
        <w:t>întru El nemaifiind  „</w:t>
      </w:r>
      <w:r w:rsidRPr="003E023F">
        <w:rPr>
          <w:i/>
          <w:szCs w:val="24"/>
        </w:rPr>
        <w:t>nici iudeu, nici elin, nici rob, nici liber, nici parte bărbătească, nici parte femeiască, ci toţi devenind una</w:t>
      </w:r>
      <w:r>
        <w:rPr>
          <w:i/>
          <w:szCs w:val="24"/>
        </w:rPr>
        <w:t>”</w:t>
      </w:r>
      <w:r w:rsidRPr="003E023F">
        <w:rPr>
          <w:szCs w:val="24"/>
        </w:rPr>
        <w:t xml:space="preserve">( </w:t>
      </w:r>
      <w:r w:rsidRPr="003E023F">
        <w:rPr>
          <w:i/>
          <w:szCs w:val="24"/>
        </w:rPr>
        <w:t>Gal</w:t>
      </w:r>
      <w:r w:rsidRPr="003E023F">
        <w:rPr>
          <w:szCs w:val="24"/>
        </w:rPr>
        <w:t xml:space="preserve">.3,28). </w:t>
      </w:r>
    </w:p>
    <w:p w:rsidR="00572744" w:rsidRPr="003E023F" w:rsidRDefault="00572744" w:rsidP="00572744">
      <w:pPr>
        <w:tabs>
          <w:tab w:val="left" w:pos="1418"/>
        </w:tabs>
        <w:ind w:left="-1350" w:right="-990"/>
        <w:jc w:val="both"/>
        <w:rPr>
          <w:szCs w:val="24"/>
        </w:rPr>
      </w:pPr>
    </w:p>
    <w:p w:rsidR="00572744" w:rsidRPr="003E023F" w:rsidRDefault="00572744" w:rsidP="00572744">
      <w:pPr>
        <w:ind w:left="-1350" w:right="-990"/>
        <w:rPr>
          <w:szCs w:val="24"/>
        </w:rPr>
      </w:pPr>
      <w:r>
        <w:rPr>
          <w:rFonts w:ascii="Tw Cen MT" w:eastAsia="Calibri" w:hAnsi="Tw Cen MT" w:cs="Calibri"/>
          <w:sz w:val="22"/>
          <w:szCs w:val="22"/>
        </w:rPr>
        <w:t xml:space="preserve"> </w:t>
      </w:r>
    </w:p>
    <w:p w:rsidR="00572744" w:rsidRDefault="00572744" w:rsidP="00572744"/>
    <w:p w:rsidR="0034512C" w:rsidRDefault="0034512C">
      <w:bookmarkStart w:id="5" w:name="_GoBack"/>
      <w:bookmarkEnd w:id="5"/>
    </w:p>
    <w:sectPr w:rsidR="0034512C">
      <w:head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0037" w:rsidRDefault="00EB0037" w:rsidP="00572744">
      <w:r>
        <w:separator/>
      </w:r>
    </w:p>
  </w:endnote>
  <w:endnote w:type="continuationSeparator" w:id="0">
    <w:p w:rsidR="00EB0037" w:rsidRDefault="00EB0037" w:rsidP="00572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oudyOldStyle">
    <w:altName w:val="Times New Roman"/>
    <w:panose1 w:val="00000000000000000000"/>
    <w:charset w:val="00"/>
    <w:family w:val="roman"/>
    <w:notTrueType/>
    <w:pitch w:val="default"/>
    <w:sig w:usb0="00000003" w:usb1="00000000"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Tw Cen MT">
    <w:panose1 w:val="020B0602020104020603"/>
    <w:charset w:val="EE"/>
    <w:family w:val="swiss"/>
    <w:pitch w:val="variable"/>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0037" w:rsidRDefault="00EB0037" w:rsidP="00572744">
      <w:r>
        <w:separator/>
      </w:r>
    </w:p>
  </w:footnote>
  <w:footnote w:type="continuationSeparator" w:id="0">
    <w:p w:rsidR="00EB0037" w:rsidRDefault="00EB0037" w:rsidP="00572744">
      <w:r>
        <w:continuationSeparator/>
      </w:r>
    </w:p>
  </w:footnote>
  <w:footnote w:id="1">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Fragment din documentul cu titlul: “Mission and Evangelism in Unity Today”, publicat în vol.:</w:t>
      </w:r>
      <w:r w:rsidRPr="00834141">
        <w:rPr>
          <w:i/>
          <w:sz w:val="20"/>
        </w:rPr>
        <w:t xml:space="preserve"> You are the Light of the World, Statements on Mission by the World Council of Churches 1980-2005,</w:t>
      </w:r>
      <w:r w:rsidRPr="00834141">
        <w:rPr>
          <w:sz w:val="20"/>
        </w:rPr>
        <w:t xml:space="preserve"> WCC Publications, Geneva, 2005, pp.62-89 (text integral în:</w:t>
      </w:r>
      <w:r w:rsidRPr="00834141">
        <w:rPr>
          <w:b/>
          <w:bCs/>
          <w:snapToGrid w:val="0"/>
          <w:sz w:val="20"/>
        </w:rPr>
        <w:t xml:space="preserve"> </w:t>
      </w:r>
      <w:r w:rsidRPr="00834141">
        <w:rPr>
          <w:bCs/>
          <w:snapToGrid w:val="0"/>
          <w:sz w:val="20"/>
        </w:rPr>
        <w:t>Pr.lect.dr.Nicolae Moşoiu</w:t>
      </w:r>
      <w:r w:rsidRPr="00834141">
        <w:rPr>
          <w:b/>
          <w:bCs/>
          <w:snapToGrid w:val="0"/>
          <w:sz w:val="20"/>
        </w:rPr>
        <w:t xml:space="preserve"> </w:t>
      </w:r>
      <w:r w:rsidRPr="00834141">
        <w:rPr>
          <w:snapToGrid w:val="0"/>
          <w:sz w:val="20"/>
        </w:rPr>
        <w:t>(autor coord.)</w:t>
      </w:r>
      <w:r w:rsidRPr="00834141">
        <w:rPr>
          <w:bCs/>
          <w:i/>
          <w:snapToGrid w:val="0"/>
          <w:sz w:val="20"/>
        </w:rPr>
        <w:t xml:space="preserve">, </w:t>
      </w:r>
      <w:r w:rsidRPr="00834141">
        <w:rPr>
          <w:bCs/>
          <w:i/>
          <w:iCs/>
          <w:snapToGrid w:val="0"/>
          <w:sz w:val="20"/>
        </w:rPr>
        <w:t>Elemente de</w:t>
      </w:r>
      <w:r w:rsidRPr="00834141">
        <w:rPr>
          <w:i/>
          <w:snapToGrid w:val="0"/>
          <w:sz w:val="20"/>
        </w:rPr>
        <w:t xml:space="preserve"> </w:t>
      </w:r>
      <w:r w:rsidRPr="00834141">
        <w:rPr>
          <w:bCs/>
          <w:i/>
          <w:iCs/>
          <w:snapToGrid w:val="0"/>
          <w:sz w:val="20"/>
        </w:rPr>
        <w:t>istorie, doctrină şi practică misionară- o perspectivă ecumenică</w:t>
      </w:r>
      <w:r w:rsidRPr="00834141">
        <w:rPr>
          <w:bCs/>
          <w:i/>
          <w:snapToGrid w:val="0"/>
          <w:sz w:val="20"/>
        </w:rPr>
        <w:t>,</w:t>
      </w:r>
      <w:r w:rsidRPr="00834141">
        <w:rPr>
          <w:b/>
          <w:bCs/>
          <w:snapToGrid w:val="0"/>
          <w:sz w:val="20"/>
        </w:rPr>
        <w:t xml:space="preserve"> </w:t>
      </w:r>
      <w:r w:rsidRPr="00834141">
        <w:rPr>
          <w:snapToGrid w:val="0"/>
          <w:sz w:val="20"/>
        </w:rPr>
        <w:t>Ed. Universităţii “Lucian Blaga”, Sibiu, 2006, pp.407-429</w:t>
      </w:r>
      <w:r w:rsidRPr="00834141">
        <w:rPr>
          <w:sz w:val="20"/>
        </w:rPr>
        <w:t xml:space="preserve">. Acest studiu a fost adoptat de Comisia pentru misiune mondială  şi evanghelizare a CEB, la întrunirea sa din Morges, Elveţia, aprilie 2000 (unde a participat şi semnatarul acestei contribuţii), ca document de studiu şi reflecţie pentru toţi cei interesaţi. </w:t>
      </w:r>
    </w:p>
  </w:footnote>
  <w:footnote w:id="2">
    <w:p w:rsidR="00572744" w:rsidRPr="00834141" w:rsidRDefault="00572744" w:rsidP="00572744">
      <w:pPr>
        <w:pStyle w:val="FootnoteText"/>
        <w:ind w:left="-1350" w:right="-990"/>
        <w:rPr>
          <w:sz w:val="20"/>
          <w:lang w:val="ro-RO"/>
        </w:rPr>
      </w:pPr>
      <w:r w:rsidRPr="00834141">
        <w:rPr>
          <w:rStyle w:val="FootnoteReference"/>
          <w:sz w:val="20"/>
        </w:rPr>
        <w:footnoteRef/>
      </w:r>
      <w:r w:rsidRPr="00834141">
        <w:rPr>
          <w:sz w:val="20"/>
        </w:rPr>
        <w:t xml:space="preserve"> http://jaroslavpelikan.blogspot.com/</w:t>
      </w:r>
    </w:p>
  </w:footnote>
  <w:footnote w:id="3">
    <w:p w:rsidR="00572744" w:rsidRPr="00834141" w:rsidRDefault="00572744" w:rsidP="00572744">
      <w:pPr>
        <w:pStyle w:val="FootnoteText"/>
        <w:ind w:left="-1350" w:right="-990"/>
        <w:rPr>
          <w:sz w:val="20"/>
          <w:lang w:val="ro-RO"/>
        </w:rPr>
      </w:pPr>
      <w:r w:rsidRPr="00834141">
        <w:rPr>
          <w:rStyle w:val="FootnoteReference"/>
          <w:sz w:val="20"/>
        </w:rPr>
        <w:footnoteRef/>
      </w:r>
      <w:r w:rsidRPr="00834141">
        <w:rPr>
          <w:sz w:val="20"/>
        </w:rPr>
        <w:t xml:space="preserve"> În limba română s-au publicat mai multe cărţi scrise de </w:t>
      </w:r>
      <w:r w:rsidRPr="00834141">
        <w:rPr>
          <w:sz w:val="20"/>
          <w:lang w:val="ro-RO"/>
        </w:rPr>
        <w:t xml:space="preserve">Jaroslav Pelikan, printre care, </w:t>
      </w:r>
      <w:r w:rsidRPr="00834141">
        <w:rPr>
          <w:i/>
          <w:sz w:val="20"/>
          <w:lang w:val="ro-RO"/>
        </w:rPr>
        <w:t>Tradiţia creştină.O istorie a dezvoltării doctrinei</w:t>
      </w:r>
      <w:r w:rsidRPr="00834141">
        <w:rPr>
          <w:sz w:val="20"/>
          <w:lang w:val="ro-RO"/>
        </w:rPr>
        <w:t xml:space="preserve">, 5vol., Polirom, 2004-2008; </w:t>
      </w:r>
      <w:r w:rsidRPr="00834141">
        <w:rPr>
          <w:i/>
          <w:sz w:val="20"/>
          <w:lang w:val="ro-RO"/>
        </w:rPr>
        <w:t>Credo</w:t>
      </w:r>
      <w:r w:rsidRPr="00834141">
        <w:rPr>
          <w:sz w:val="20"/>
          <w:lang w:val="ro-RO"/>
        </w:rPr>
        <w:t xml:space="preserve">, Polirom, 2010, 500p.; a se şi vedea cele 4 vol. impresionante, </w:t>
      </w:r>
      <w:r w:rsidRPr="00834141">
        <w:rPr>
          <w:rStyle w:val="st"/>
          <w:i/>
          <w:sz w:val="20"/>
        </w:rPr>
        <w:t>Creeds &amp; Confessions of Faith in the Christian Tradition</w:t>
      </w:r>
      <w:r w:rsidRPr="00834141">
        <w:rPr>
          <w:rStyle w:val="st"/>
          <w:sz w:val="20"/>
        </w:rPr>
        <w:t xml:space="preserve">, </w:t>
      </w:r>
      <w:r w:rsidRPr="00834141">
        <w:rPr>
          <w:sz w:val="20"/>
          <w:lang w:val="ro-RO"/>
        </w:rPr>
        <w:t xml:space="preserve"> </w:t>
      </w:r>
      <w:r w:rsidRPr="00834141">
        <w:rPr>
          <w:rFonts w:ascii="GoudyOldStyle" w:hAnsi="GoudyOldStyle" w:cs="GoudyOldStyle"/>
          <w:sz w:val="20"/>
          <w:lang w:val="en-US"/>
        </w:rPr>
        <w:t>Jaroslav Pelikan and Valerie Hotchkiss, editors, New Haven, CT: Yale, 2003, (3500p.!)</w:t>
      </w:r>
    </w:p>
  </w:footnote>
  <w:footnote w:id="4">
    <w:p w:rsidR="00572744" w:rsidRPr="00834141" w:rsidRDefault="00572744" w:rsidP="00572744">
      <w:pPr>
        <w:pStyle w:val="FootnoteText"/>
        <w:ind w:left="-1350" w:right="-990"/>
        <w:rPr>
          <w:sz w:val="20"/>
          <w:lang w:val="ro-RO"/>
        </w:rPr>
      </w:pPr>
      <w:r w:rsidRPr="00834141">
        <w:rPr>
          <w:rStyle w:val="FootnoteReference"/>
          <w:sz w:val="20"/>
        </w:rPr>
        <w:footnoteRef/>
      </w:r>
      <w:r w:rsidRPr="00834141">
        <w:rPr>
          <w:sz w:val="20"/>
          <w:lang w:val="ro-RO"/>
        </w:rPr>
        <w:t xml:space="preserve"> </w:t>
      </w:r>
      <w:hyperlink r:id="rId1" w:history="1">
        <w:r w:rsidRPr="00834141">
          <w:rPr>
            <w:rStyle w:val="Hyperlink"/>
            <w:sz w:val="20"/>
          </w:rPr>
          <w:t>http://www.orthodox-church.info/eureka/asp/becomingorthodox.asp</w:t>
        </w:r>
      </w:hyperlink>
    </w:p>
  </w:footnote>
  <w:footnote w:id="5">
    <w:p w:rsidR="00572744" w:rsidRPr="00834141" w:rsidRDefault="00572744" w:rsidP="00572744">
      <w:pPr>
        <w:pStyle w:val="FootnoteText"/>
        <w:ind w:left="-1350" w:right="-990"/>
        <w:rPr>
          <w:sz w:val="20"/>
          <w:lang w:val="ro-RO"/>
        </w:rPr>
      </w:pPr>
      <w:r w:rsidRPr="00834141">
        <w:rPr>
          <w:rStyle w:val="FootnoteReference"/>
          <w:sz w:val="20"/>
        </w:rPr>
        <w:footnoteRef/>
      </w:r>
      <w:r w:rsidRPr="00834141">
        <w:rPr>
          <w:sz w:val="20"/>
        </w:rPr>
        <w:t xml:space="preserve"> http://jaroslavpelikan.blogspot.com/</w:t>
      </w:r>
    </w:p>
  </w:footnote>
  <w:footnote w:id="6">
    <w:p w:rsidR="00572744" w:rsidRPr="00834141" w:rsidRDefault="00572744" w:rsidP="00572744">
      <w:pPr>
        <w:pStyle w:val="FootnoteText"/>
        <w:ind w:left="-1350" w:right="-990"/>
        <w:rPr>
          <w:sz w:val="20"/>
          <w:lang w:val="ro-RO"/>
        </w:rPr>
      </w:pPr>
      <w:r w:rsidRPr="00834141">
        <w:rPr>
          <w:rStyle w:val="FootnoteReference"/>
          <w:sz w:val="20"/>
        </w:rPr>
        <w:footnoteRef/>
      </w:r>
      <w:r w:rsidRPr="00834141">
        <w:rPr>
          <w:sz w:val="20"/>
        </w:rPr>
        <w:t xml:space="preserve"> </w:t>
      </w:r>
      <w:r w:rsidRPr="00834141">
        <w:rPr>
          <w:sz w:val="20"/>
          <w:lang w:val="ro-RO"/>
        </w:rPr>
        <w:t>Ibidem</w:t>
      </w:r>
    </w:p>
  </w:footnote>
  <w:footnote w:id="7">
    <w:p w:rsidR="00572744" w:rsidRPr="00834141" w:rsidRDefault="00572744" w:rsidP="00572744">
      <w:pPr>
        <w:pStyle w:val="FootnoteText"/>
        <w:ind w:left="-1350" w:right="-990"/>
        <w:rPr>
          <w:sz w:val="20"/>
          <w:lang w:val="ro-RO"/>
        </w:rPr>
      </w:pPr>
      <w:r w:rsidRPr="00834141">
        <w:rPr>
          <w:rStyle w:val="FootnoteReference"/>
          <w:sz w:val="20"/>
        </w:rPr>
        <w:footnoteRef/>
      </w:r>
      <w:r w:rsidRPr="00834141">
        <w:rPr>
          <w:sz w:val="20"/>
        </w:rPr>
        <w:t xml:space="preserve">Ibidem </w:t>
      </w:r>
    </w:p>
  </w:footnote>
  <w:footnote w:id="8">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rStyle w:val="citation"/>
          <w:sz w:val="20"/>
        </w:rPr>
        <w:t xml:space="preserve">George, Timothy (Summer 2006).  “Delighted by doctrine”. </w:t>
      </w:r>
      <w:r w:rsidRPr="00834141">
        <w:rPr>
          <w:rStyle w:val="citation"/>
          <w:i/>
          <w:iCs/>
          <w:sz w:val="20"/>
        </w:rPr>
        <w:t>Christian History &amp; Biography</w:t>
      </w:r>
      <w:r w:rsidRPr="00834141">
        <w:rPr>
          <w:rStyle w:val="citation"/>
          <w:sz w:val="20"/>
        </w:rPr>
        <w:t xml:space="preserve"> (Christianity Today International) (91): 43–45, </w:t>
      </w:r>
      <w:hyperlink r:id="rId2" w:history="1">
        <w:r w:rsidRPr="00834141">
          <w:rPr>
            <w:rStyle w:val="Hyperlink"/>
            <w:sz w:val="20"/>
          </w:rPr>
          <w:t>http://en.wikipedia.org/wiki/Jaroslav_Pelikan</w:t>
        </w:r>
      </w:hyperlink>
      <w:r w:rsidRPr="00834141">
        <w:rPr>
          <w:rStyle w:val="citation"/>
          <w:sz w:val="20"/>
        </w:rPr>
        <w:t xml:space="preserve">. </w:t>
      </w:r>
      <w:r w:rsidRPr="00834141">
        <w:rPr>
          <w:rStyle w:val="FootnoteReference"/>
          <w:sz w:val="20"/>
        </w:rPr>
        <w:t xml:space="preserve"> </w:t>
      </w:r>
      <w:r w:rsidRPr="00834141">
        <w:rPr>
          <w:i/>
          <w:sz w:val="20"/>
        </w:rPr>
        <w:t>O formulare excepţională care ne reaminteşte de afirmaţia: „Ortodoxia este firea omului”aparţinând altui convertit, sau revenit la Ortodoxie, părintele Rafail Noica, fiul marelui filosof Constantin Noica .</w:t>
      </w:r>
      <w:r w:rsidRPr="00834141">
        <w:rPr>
          <w:sz w:val="20"/>
        </w:rPr>
        <w:t xml:space="preserve"> </w:t>
      </w:r>
      <w:hyperlink r:id="rId3" w:history="1">
        <w:r w:rsidRPr="00834141">
          <w:rPr>
            <w:rStyle w:val="Hyperlink"/>
            <w:sz w:val="20"/>
          </w:rPr>
          <w:t>http://www.crestinortodox.ro/editoriale/normal-nefiresc-126442.html</w:t>
        </w:r>
      </w:hyperlink>
      <w:r w:rsidRPr="00834141">
        <w:rPr>
          <w:sz w:val="20"/>
        </w:rPr>
        <w:t xml:space="preserve">; </w:t>
      </w:r>
      <w:hyperlink r:id="rId4" w:history="1">
        <w:r w:rsidRPr="00834141">
          <w:rPr>
            <w:rStyle w:val="Hyperlink"/>
            <w:sz w:val="20"/>
          </w:rPr>
          <w:t>http://www.reintregirea.ro/index.php?cid=carte-106</w:t>
        </w:r>
      </w:hyperlink>
      <w:r w:rsidRPr="00834141">
        <w:rPr>
          <w:sz w:val="20"/>
        </w:rPr>
        <w:t xml:space="preserve">( prezentare CD cu acelaşi titlul); </w:t>
      </w:r>
      <w:hyperlink r:id="rId5" w:history="1">
        <w:r w:rsidRPr="00834141">
          <w:rPr>
            <w:rStyle w:val="Hyperlink"/>
            <w:sz w:val="20"/>
          </w:rPr>
          <w:t>http://www.rugulaprins.go.ro/012007.htm</w:t>
        </w:r>
      </w:hyperlink>
    </w:p>
    <w:p w:rsidR="00572744" w:rsidRPr="00834141" w:rsidRDefault="00572744" w:rsidP="00572744">
      <w:pPr>
        <w:pStyle w:val="FootnoteText"/>
        <w:ind w:left="-1350" w:right="-990"/>
        <w:rPr>
          <w:sz w:val="20"/>
          <w:lang w:val="ro-RO"/>
        </w:rPr>
      </w:pPr>
    </w:p>
    <w:p w:rsidR="00572744" w:rsidRPr="00834141" w:rsidRDefault="00572744" w:rsidP="00572744">
      <w:pPr>
        <w:pStyle w:val="FootnoteText"/>
        <w:ind w:left="-1350" w:right="-990"/>
        <w:rPr>
          <w:sz w:val="20"/>
          <w:lang w:val="ro-RO"/>
        </w:rPr>
      </w:pPr>
    </w:p>
  </w:footnote>
  <w:footnote w:id="9">
    <w:p w:rsidR="00572744" w:rsidRPr="00834141" w:rsidRDefault="00572744" w:rsidP="00572744">
      <w:pPr>
        <w:pStyle w:val="FootnoteText"/>
        <w:ind w:left="-1350" w:right="-990"/>
        <w:rPr>
          <w:sz w:val="20"/>
          <w:lang w:val="ro-RO"/>
        </w:rPr>
      </w:pPr>
      <w:r w:rsidRPr="00834141">
        <w:rPr>
          <w:rStyle w:val="FootnoteReference"/>
          <w:sz w:val="20"/>
        </w:rPr>
        <w:footnoteRef/>
      </w:r>
      <w:r w:rsidRPr="00834141">
        <w:rPr>
          <w:sz w:val="20"/>
        </w:rPr>
        <w:t xml:space="preserve"> Pr.Prof.Ion Bria, </w:t>
      </w:r>
      <w:r w:rsidRPr="00834141">
        <w:rPr>
          <w:i/>
          <w:iCs/>
          <w:sz w:val="20"/>
        </w:rPr>
        <w:t>Tratat de Teologie Dogmatică şi Ecumenică,</w:t>
      </w:r>
      <w:r w:rsidRPr="00834141">
        <w:rPr>
          <w:sz w:val="20"/>
        </w:rPr>
        <w:t xml:space="preserve"> Sibiu, 2009,vol.II, p.68-69. </w:t>
      </w:r>
      <w:r w:rsidRPr="00834141">
        <w:rPr>
          <w:sz w:val="20"/>
          <w:lang w:val="ro-RO"/>
        </w:rPr>
        <w:t xml:space="preserve">A se vedea evoluţiile negative recente din Biserica Episcopeliană , </w:t>
      </w:r>
      <w:hyperlink r:id="rId6" w:history="1">
        <w:r w:rsidRPr="00834141">
          <w:rPr>
            <w:rStyle w:val="Hyperlink"/>
            <w:sz w:val="20"/>
            <w:lang w:val="ro-RO"/>
          </w:rPr>
          <w:t>http://www.reuters.com/article/2010/05/16/us-usa-bishop-gay-idUSTRE64F0CD20100516</w:t>
        </w:r>
      </w:hyperlink>
      <w:r w:rsidRPr="00834141">
        <w:rPr>
          <w:sz w:val="20"/>
          <w:lang w:val="ro-RO"/>
        </w:rPr>
        <w:t>, ş.a.</w:t>
      </w:r>
    </w:p>
  </w:footnote>
  <w:footnote w:id="10">
    <w:p w:rsidR="00572744" w:rsidRPr="00834141" w:rsidRDefault="00572744" w:rsidP="00572744">
      <w:pPr>
        <w:pStyle w:val="FootnoteText"/>
        <w:ind w:left="-1350" w:right="-990"/>
        <w:rPr>
          <w:sz w:val="20"/>
          <w:lang w:val="ro-RO"/>
        </w:rPr>
      </w:pPr>
      <w:r w:rsidRPr="00834141">
        <w:rPr>
          <w:rStyle w:val="FootnoteReference"/>
          <w:sz w:val="20"/>
        </w:rPr>
        <w:footnoteRef/>
      </w:r>
      <w:r w:rsidRPr="00834141">
        <w:rPr>
          <w:sz w:val="20"/>
        </w:rPr>
        <w:t xml:space="preserve"> A se vedea “</w:t>
      </w:r>
      <w:r w:rsidRPr="00834141">
        <w:rPr>
          <w:bCs/>
          <w:snapToGrid w:val="0"/>
          <w:sz w:val="20"/>
        </w:rPr>
        <w:t>Raportul final al Comisiei speciale privind paticiparea ortodoxă la Consiliul ecumenic al Bisericilor”,</w:t>
      </w:r>
      <w:r w:rsidRPr="00834141">
        <w:rPr>
          <w:snapToGrid w:val="0"/>
          <w:sz w:val="20"/>
        </w:rPr>
        <w:t xml:space="preserve"> în Revista Teologică, nr,4, 2003, pp.110-125 şi nr.1, 2004, p.122-153 şi pe: </w:t>
      </w:r>
      <w:hyperlink r:id="rId7" w:history="1">
        <w:r w:rsidRPr="00834141">
          <w:rPr>
            <w:rStyle w:val="Hyperlink"/>
            <w:snapToGrid w:val="0"/>
            <w:sz w:val="20"/>
          </w:rPr>
          <w:t>http://www.ecum.ro/infoecum/dokumente/raportul-final-al-comisiei-speciale</w:t>
        </w:r>
      </w:hyperlink>
    </w:p>
  </w:footnote>
  <w:footnote w:id="11">
    <w:p w:rsidR="00572744" w:rsidRPr="00834141" w:rsidRDefault="00572744" w:rsidP="00572744">
      <w:pPr>
        <w:pStyle w:val="StyleStyle118pt"/>
        <w:spacing w:before="0" w:after="0"/>
        <w:ind w:left="-1350" w:right="-990"/>
        <w:jc w:val="both"/>
        <w:rPr>
          <w:b w:val="0"/>
          <w:i w:val="0"/>
          <w:sz w:val="20"/>
          <w:szCs w:val="20"/>
        </w:rPr>
      </w:pPr>
      <w:r w:rsidRPr="00834141">
        <w:rPr>
          <w:rStyle w:val="FootnoteReference"/>
          <w:b w:val="0"/>
          <w:i w:val="0"/>
          <w:sz w:val="20"/>
          <w:szCs w:val="20"/>
        </w:rPr>
        <w:footnoteRef/>
      </w:r>
      <w:r w:rsidRPr="00834141">
        <w:rPr>
          <w:b w:val="0"/>
          <w:i w:val="0"/>
          <w:sz w:val="20"/>
          <w:szCs w:val="20"/>
        </w:rPr>
        <w:t xml:space="preserve"> </w:t>
      </w:r>
      <w:bookmarkStart w:id="0" w:name="_Toc153095506"/>
      <w:bookmarkStart w:id="1" w:name="_Toc153254457"/>
      <w:bookmarkStart w:id="2" w:name="_Toc153601514"/>
      <w:bookmarkStart w:id="3" w:name="_Toc153603081"/>
      <w:bookmarkStart w:id="4" w:name="_Toc153603279"/>
      <w:r w:rsidRPr="00834141">
        <w:rPr>
          <w:b w:val="0"/>
          <w:i w:val="0"/>
          <w:sz w:val="20"/>
          <w:szCs w:val="20"/>
        </w:rPr>
        <w:t xml:space="preserve"> A se vedea documentul : “Pe calea spre mărturia comună: O invitaţie de a adopta relaţii responsabile în misiune şi de a </w:t>
      </w:r>
      <w:bookmarkEnd w:id="0"/>
      <w:bookmarkEnd w:id="1"/>
      <w:bookmarkEnd w:id="2"/>
      <w:bookmarkEnd w:id="3"/>
      <w:bookmarkEnd w:id="4"/>
      <w:r w:rsidRPr="00834141">
        <w:rPr>
          <w:b w:val="0"/>
          <w:i w:val="0"/>
          <w:sz w:val="20"/>
          <w:szCs w:val="20"/>
        </w:rPr>
        <w:t>se renunţa la prozelitism” (</w:t>
      </w:r>
      <w:r w:rsidRPr="00834141">
        <w:rPr>
          <w:b w:val="0"/>
          <w:sz w:val="20"/>
          <w:szCs w:val="20"/>
        </w:rPr>
        <w:t>„</w:t>
      </w:r>
      <w:r w:rsidRPr="00834141">
        <w:rPr>
          <w:b w:val="0"/>
          <w:i w:val="0"/>
          <w:sz w:val="20"/>
          <w:szCs w:val="20"/>
        </w:rPr>
        <w:t>Towards Common Witness: A Call to Adopt Responsible Relationships in Mission and to Renounce Proselytism”), în vol:</w:t>
      </w:r>
      <w:r w:rsidRPr="00834141">
        <w:rPr>
          <w:b w:val="0"/>
          <w:sz w:val="20"/>
          <w:szCs w:val="20"/>
        </w:rPr>
        <w:t>“You are the light of the world”. Statements on Mission by the World Council of Churches 1980-2005, WCC Publications, Geneva 2005, pp.39-58;</w:t>
      </w:r>
      <w:r w:rsidRPr="00834141">
        <w:rPr>
          <w:b w:val="0"/>
          <w:i w:val="0"/>
          <w:sz w:val="20"/>
          <w:szCs w:val="20"/>
        </w:rPr>
        <w:t xml:space="preserve">t.r în vol: </w:t>
      </w:r>
      <w:r w:rsidRPr="00834141">
        <w:rPr>
          <w:b w:val="0"/>
          <w:sz w:val="20"/>
          <w:szCs w:val="20"/>
        </w:rPr>
        <w:t>Elemente de istorie, doctrină şi practică misionară, op.cit.</w:t>
      </w:r>
      <w:r w:rsidRPr="00834141">
        <w:rPr>
          <w:b w:val="0"/>
          <w:i w:val="0"/>
          <w:sz w:val="20"/>
          <w:szCs w:val="20"/>
        </w:rPr>
        <w:t>, p.433-448 şi pe:</w:t>
      </w:r>
      <w:r w:rsidRPr="00834141">
        <w:rPr>
          <w:sz w:val="20"/>
          <w:szCs w:val="20"/>
        </w:rPr>
        <w:t xml:space="preserve"> </w:t>
      </w:r>
      <w:hyperlink r:id="rId8" w:history="1">
        <w:r w:rsidRPr="00834141">
          <w:rPr>
            <w:rStyle w:val="Hyperlink"/>
            <w:b w:val="0"/>
            <w:i w:val="0"/>
            <w:sz w:val="20"/>
            <w:szCs w:val="20"/>
          </w:rPr>
          <w:t>http://www.ecum.ro/infoecum/Ro/dokumente/pe-calea-spre-marturia-comuna?month=9&amp;year=2011</w:t>
        </w:r>
      </w:hyperlink>
      <w:r w:rsidRPr="00834141">
        <w:rPr>
          <w:b w:val="0"/>
          <w:i w:val="0"/>
          <w:sz w:val="20"/>
          <w:szCs w:val="20"/>
        </w:rPr>
        <w:t>. Documentul prezintă, fără nici un echivoc, poziţia intransigentă a Consiliului Ecumenic al Bisericilor în privinţa prozelitismului. Este imperios necesar ca toate bisercile membre să respecte reglementările cuprinse în acest document. Realizăm, încă o dată, importanţa unui for care să cuprindă toate bisericile şi comunităţile creştine, pentru că doar aşa pot luat împreună decizii pe care apoi să le respecte cu stricteţe.</w:t>
      </w:r>
      <w:r w:rsidRPr="00834141">
        <w:rPr>
          <w:rStyle w:val="FootnoteReference"/>
          <w:b w:val="0"/>
          <w:i w:val="0"/>
          <w:sz w:val="20"/>
          <w:szCs w:val="20"/>
        </w:rPr>
        <w:t xml:space="preserve"> </w:t>
      </w:r>
      <w:r w:rsidRPr="00834141">
        <w:rPr>
          <w:b w:val="0"/>
          <w:i w:val="0"/>
          <w:sz w:val="20"/>
          <w:szCs w:val="20"/>
        </w:rPr>
        <w:t>“</w:t>
      </w:r>
      <w:r w:rsidRPr="00834141">
        <w:rPr>
          <w:b w:val="0"/>
          <w:sz w:val="20"/>
          <w:szCs w:val="20"/>
        </w:rPr>
        <w:t>Obiectivele acestei declaraţii sunt:să conştientizeze bisericile şi pe creştini de cruda realitate a prozelitismului din zilele noastre;să-i îndrume pe cei implicaţi în prozelitism să recunoască efectele dezastruoase ale acestuia asupra unităţii bisericeşti, asupra relaţiilor dintre creştini şi credibilităţii Evangheliei şi, astfel, să renunţe la acesta;să încurajeze bisericile şi agenţiile misionare să evite toate formele de competiţie în misiune şi să se dedice din nou mărturiei în unitate</w:t>
      </w:r>
      <w:r w:rsidRPr="00834141">
        <w:rPr>
          <w:b w:val="0"/>
          <w:i w:val="0"/>
          <w:sz w:val="20"/>
          <w:szCs w:val="20"/>
        </w:rPr>
        <w:t xml:space="preserve">”, </w:t>
      </w:r>
      <w:r w:rsidRPr="00834141">
        <w:rPr>
          <w:b w:val="0"/>
          <w:sz w:val="20"/>
          <w:szCs w:val="20"/>
        </w:rPr>
        <w:t>ibidem.</w:t>
      </w:r>
    </w:p>
  </w:footnote>
  <w:footnote w:id="12">
    <w:p w:rsidR="00572744" w:rsidRPr="00834141" w:rsidRDefault="00572744" w:rsidP="00572744">
      <w:pPr>
        <w:pStyle w:val="FootnoteText"/>
        <w:ind w:left="-1350" w:right="-990"/>
        <w:rPr>
          <w:sz w:val="20"/>
          <w:lang w:val="ro-RO"/>
        </w:rPr>
      </w:pPr>
      <w:r w:rsidRPr="00834141">
        <w:rPr>
          <w:rStyle w:val="FootnoteReference"/>
          <w:sz w:val="20"/>
        </w:rPr>
        <w:footnoteRef/>
      </w:r>
      <w:r w:rsidRPr="00834141">
        <w:rPr>
          <w:sz w:val="20"/>
        </w:rPr>
        <w:t xml:space="preserve"> </w:t>
      </w:r>
      <w:r w:rsidRPr="00834141">
        <w:rPr>
          <w:sz w:val="20"/>
          <w:lang w:val="ro-RO"/>
        </w:rPr>
        <w:t xml:space="preserve">A se vedea şi foarte utila lucrare: Aurel Pavel, Ciprian Iulian Toroczkai, </w:t>
      </w:r>
      <w:r w:rsidRPr="00834141">
        <w:rPr>
          <w:i/>
          <w:sz w:val="20"/>
          <w:lang w:val="ro-RO"/>
        </w:rPr>
        <w:t>Adevăratul şi falsul ecumenism</w:t>
      </w:r>
      <w:r w:rsidRPr="00834141">
        <w:rPr>
          <w:sz w:val="20"/>
          <w:lang w:val="ro-RO"/>
        </w:rPr>
        <w:t>, Sibiu, 2010</w:t>
      </w:r>
    </w:p>
  </w:footnote>
  <w:footnote w:id="13">
    <w:p w:rsidR="00572744" w:rsidRPr="00834141" w:rsidRDefault="00572744" w:rsidP="00572744">
      <w:pPr>
        <w:ind w:left="-1350" w:right="-990"/>
        <w:jc w:val="both"/>
        <w:rPr>
          <w:sz w:val="20"/>
        </w:rPr>
      </w:pPr>
      <w:r w:rsidRPr="00834141">
        <w:rPr>
          <w:rStyle w:val="FootnoteReference"/>
          <w:sz w:val="20"/>
        </w:rPr>
        <w:footnoteRef/>
      </w:r>
      <w:r w:rsidRPr="00834141">
        <w:rPr>
          <w:sz w:val="20"/>
        </w:rPr>
        <w:t xml:space="preserve">  </w:t>
      </w:r>
      <w:hyperlink r:id="rId9" w:history="1">
        <w:r w:rsidRPr="00834141">
          <w:rPr>
            <w:rStyle w:val="Hyperlink"/>
            <w:sz w:val="20"/>
          </w:rPr>
          <w:t>http://www.oikoumene.org/resources/documents/assembly/porto-alegre-2006/1-statements-documents-adopted/christian-unity-and-message-to-the-churches/called-to-be-the-one-church-as-adopted.html</w:t>
        </w:r>
      </w:hyperlink>
      <w:r w:rsidRPr="00834141">
        <w:rPr>
          <w:sz w:val="20"/>
        </w:rPr>
        <w:t xml:space="preserve">; traducerea în limba română în vol.: </w:t>
      </w:r>
      <w:r w:rsidRPr="00834141">
        <w:rPr>
          <w:snapToGrid w:val="0"/>
          <w:sz w:val="20"/>
          <w:lang w:val="pt-BR"/>
        </w:rPr>
        <w:t xml:space="preserve">Pr. lect. dr. Nicolae Moşoiu (autor coord.), </w:t>
      </w:r>
      <w:r w:rsidRPr="00834141">
        <w:rPr>
          <w:i/>
          <w:iCs/>
          <w:snapToGrid w:val="0"/>
          <w:sz w:val="20"/>
          <w:lang w:val="pt-BR"/>
        </w:rPr>
        <w:t>Elemente de</w:t>
      </w:r>
      <w:r w:rsidRPr="00834141">
        <w:rPr>
          <w:snapToGrid w:val="0"/>
          <w:sz w:val="20"/>
          <w:lang w:val="pt-BR"/>
        </w:rPr>
        <w:t xml:space="preserve"> </w:t>
      </w:r>
      <w:r w:rsidRPr="00834141">
        <w:rPr>
          <w:i/>
          <w:iCs/>
          <w:snapToGrid w:val="0"/>
          <w:sz w:val="20"/>
          <w:lang w:val="pt-BR"/>
        </w:rPr>
        <w:t>istorie, doctrină şi practică misionară- o perspectivă ecumenică</w:t>
      </w:r>
      <w:r w:rsidRPr="00834141">
        <w:rPr>
          <w:snapToGrid w:val="0"/>
          <w:sz w:val="20"/>
          <w:lang w:val="pt-BR"/>
        </w:rPr>
        <w:t>,</w:t>
      </w:r>
      <w:r w:rsidRPr="00834141">
        <w:rPr>
          <w:i/>
          <w:snapToGrid w:val="0"/>
          <w:sz w:val="20"/>
          <w:lang w:val="pt-BR"/>
        </w:rPr>
        <w:t>op.cit.</w:t>
      </w:r>
      <w:r w:rsidRPr="00834141">
        <w:rPr>
          <w:snapToGrid w:val="0"/>
          <w:sz w:val="20"/>
          <w:lang w:val="pt-BR"/>
        </w:rPr>
        <w:t xml:space="preserve">, p.128 şi pe </w:t>
      </w:r>
      <w:hyperlink r:id="rId10" w:history="1">
        <w:r w:rsidRPr="00834141">
          <w:rPr>
            <w:rStyle w:val="Hyperlink"/>
            <w:sz w:val="20"/>
          </w:rPr>
          <w:t>http://www.ecum.ro/infoecum/search?searchword=elemente+de+istorie</w:t>
        </w:r>
      </w:hyperlink>
      <w:r w:rsidRPr="00834141">
        <w:rPr>
          <w:sz w:val="20"/>
        </w:rPr>
        <w:t>+</w:t>
      </w:r>
      <w:r w:rsidRPr="00834141">
        <w:rPr>
          <w:sz w:val="20"/>
          <w:lang w:val="pt-BR" w:eastAsia="ro-RO"/>
        </w:rPr>
        <w:t xml:space="preserve">  </w:t>
      </w:r>
    </w:p>
  </w:footnote>
  <w:footnote w:id="14">
    <w:p w:rsidR="00572744" w:rsidRPr="00834141" w:rsidRDefault="00572744" w:rsidP="00572744">
      <w:pPr>
        <w:pStyle w:val="FootnoteText"/>
        <w:ind w:left="-1350" w:right="-990"/>
        <w:rPr>
          <w:sz w:val="20"/>
          <w:lang w:val="ro-RO"/>
        </w:rPr>
      </w:pPr>
      <w:r w:rsidRPr="00834141">
        <w:rPr>
          <w:rStyle w:val="FootnoteReference"/>
          <w:sz w:val="20"/>
        </w:rPr>
        <w:footnoteRef/>
      </w:r>
      <w:r w:rsidRPr="00834141">
        <w:rPr>
          <w:sz w:val="20"/>
        </w:rPr>
        <w:t xml:space="preserve"> </w:t>
      </w:r>
      <w:r w:rsidRPr="00834141">
        <w:rPr>
          <w:sz w:val="20"/>
          <w:lang w:val="ro-RO"/>
        </w:rPr>
        <w:t xml:space="preserve">V. nota explic. 10, </w:t>
      </w:r>
      <w:r w:rsidRPr="00834141">
        <w:rPr>
          <w:i/>
          <w:sz w:val="20"/>
          <w:lang w:val="ro-RO"/>
        </w:rPr>
        <w:t>supra</w:t>
      </w:r>
    </w:p>
  </w:footnote>
  <w:footnote w:id="15">
    <w:p w:rsidR="00572744"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w:t>
      </w:r>
      <w:r w:rsidRPr="00834141">
        <w:rPr>
          <w:snapToGrid w:val="0"/>
          <w:sz w:val="20"/>
        </w:rPr>
        <w:t xml:space="preserve">Termenul </w:t>
      </w:r>
      <w:r w:rsidRPr="00834141">
        <w:rPr>
          <w:sz w:val="20"/>
          <w:lang w:val="ro-RO"/>
        </w:rPr>
        <w:t>«</w:t>
      </w:r>
      <w:r w:rsidRPr="00834141">
        <w:rPr>
          <w:snapToGrid w:val="0"/>
          <w:sz w:val="20"/>
        </w:rPr>
        <w:t>misiune</w:t>
      </w:r>
      <w:r w:rsidRPr="00834141">
        <w:rPr>
          <w:sz w:val="20"/>
          <w:lang w:val="ro-RO"/>
        </w:rPr>
        <w:t>»</w:t>
      </w:r>
      <w:r w:rsidRPr="00834141">
        <w:rPr>
          <w:snapToGrid w:val="0"/>
          <w:sz w:val="20"/>
        </w:rPr>
        <w:t xml:space="preserve"> are o accepţiune holistică: proclamarea şi împărtăşirea veştii celei bune a Evangheliei prin cuvânt (</w:t>
      </w:r>
      <w:r w:rsidRPr="00834141">
        <w:rPr>
          <w:i/>
          <w:snapToGrid w:val="0"/>
          <w:sz w:val="20"/>
        </w:rPr>
        <w:t>kerygma</w:t>
      </w:r>
      <w:r w:rsidRPr="00834141">
        <w:rPr>
          <w:snapToGrid w:val="0"/>
          <w:sz w:val="20"/>
        </w:rPr>
        <w:t>), faptă (</w:t>
      </w:r>
      <w:r w:rsidRPr="00834141">
        <w:rPr>
          <w:i/>
          <w:snapToGrid w:val="0"/>
          <w:sz w:val="20"/>
        </w:rPr>
        <w:t>diakonia</w:t>
      </w:r>
      <w:r w:rsidRPr="00834141">
        <w:rPr>
          <w:snapToGrid w:val="0"/>
          <w:sz w:val="20"/>
        </w:rPr>
        <w:t>), rugăciune şi  cult (</w:t>
      </w:r>
      <w:r w:rsidRPr="00834141">
        <w:rPr>
          <w:i/>
          <w:snapToGrid w:val="0"/>
          <w:sz w:val="20"/>
        </w:rPr>
        <w:t>leiturgia</w:t>
      </w:r>
      <w:r w:rsidRPr="00834141">
        <w:rPr>
          <w:snapToGrid w:val="0"/>
          <w:sz w:val="20"/>
        </w:rPr>
        <w:t>), şi prin mărturisirea zilnică a vieţii creştine (</w:t>
      </w:r>
      <w:r w:rsidRPr="00834141">
        <w:rPr>
          <w:i/>
          <w:snapToGrid w:val="0"/>
          <w:sz w:val="20"/>
        </w:rPr>
        <w:t>martyria</w:t>
      </w:r>
      <w:r w:rsidRPr="00834141">
        <w:rPr>
          <w:snapToGrid w:val="0"/>
          <w:sz w:val="20"/>
        </w:rPr>
        <w:t xml:space="preserve">); învăţarea  ca mod de creştere şi întărire a oamenilor în relaţia lor cu Dumnezeu şi între ei; şi tămăduirea </w:t>
      </w:r>
      <w:r w:rsidRPr="00346F46">
        <w:rPr>
          <w:snapToGrid w:val="0"/>
          <w:sz w:val="20"/>
        </w:rPr>
        <w:t xml:space="preserve">ca integritate şi reconciliere spre a se realiza </w:t>
      </w:r>
      <w:r w:rsidRPr="00346F46">
        <w:rPr>
          <w:i/>
          <w:snapToGrid w:val="0"/>
          <w:sz w:val="20"/>
        </w:rPr>
        <w:t>koinonia</w:t>
      </w:r>
      <w:r w:rsidRPr="00346F46">
        <w:rPr>
          <w:snapToGrid w:val="0"/>
          <w:sz w:val="20"/>
        </w:rPr>
        <w:t xml:space="preserve"> – comuniunea cu Dumnezeu, comuniunea cu oamenii şi comuniunea cu întrega creaţie”, </w:t>
      </w:r>
      <w:r w:rsidRPr="00346F46">
        <w:rPr>
          <w:color w:val="000000"/>
          <w:sz w:val="20"/>
        </w:rPr>
        <w:t>„Misiune şi evanghelizare în unitate astăzi”, document tradus în vol. col.: Pr. lect. dr. Nicolae Moşoiu,</w:t>
      </w:r>
      <w:r w:rsidRPr="00346F46">
        <w:rPr>
          <w:b/>
          <w:bCs/>
          <w:color w:val="000000"/>
          <w:sz w:val="20"/>
        </w:rPr>
        <w:t> </w:t>
      </w:r>
      <w:r w:rsidRPr="00346F46">
        <w:rPr>
          <w:color w:val="000000"/>
          <w:sz w:val="20"/>
        </w:rPr>
        <w:t>autor coord., </w:t>
      </w:r>
      <w:r w:rsidRPr="00346F46">
        <w:rPr>
          <w:i/>
          <w:iCs/>
          <w:color w:val="000000"/>
          <w:sz w:val="20"/>
        </w:rPr>
        <w:t>Elemente de</w:t>
      </w:r>
      <w:r w:rsidRPr="00346F46">
        <w:rPr>
          <w:color w:val="000000"/>
          <w:sz w:val="20"/>
        </w:rPr>
        <w:t> </w:t>
      </w:r>
      <w:r w:rsidRPr="00346F46">
        <w:rPr>
          <w:i/>
          <w:iCs/>
          <w:color w:val="000000"/>
          <w:sz w:val="20"/>
        </w:rPr>
        <w:t>istorie, doctrină şi practică misionară - o perspectivă ecumenică</w:t>
      </w:r>
      <w:r w:rsidRPr="00346F46">
        <w:rPr>
          <w:color w:val="000000"/>
          <w:sz w:val="20"/>
        </w:rPr>
        <w:t>,</w:t>
      </w:r>
      <w:r w:rsidRPr="00346F46">
        <w:rPr>
          <w:b/>
          <w:bCs/>
          <w:color w:val="000000"/>
          <w:sz w:val="20"/>
        </w:rPr>
        <w:t> </w:t>
      </w:r>
      <w:r w:rsidRPr="00346F46">
        <w:rPr>
          <w:color w:val="000000"/>
          <w:sz w:val="20"/>
        </w:rPr>
        <w:t>Ed. Universităţii „Lucian Blaga" din Sibiu, 2006, p. 207-229;</w:t>
      </w:r>
      <w:r w:rsidRPr="00346F46">
        <w:rPr>
          <w:sz w:val="20"/>
        </w:rPr>
        <w:t xml:space="preserve"> </w:t>
      </w:r>
    </w:p>
    <w:p w:rsidR="00572744" w:rsidRPr="00834141" w:rsidRDefault="00572744" w:rsidP="00572744">
      <w:pPr>
        <w:pStyle w:val="FootnoteText"/>
        <w:ind w:left="-1350" w:right="-990"/>
        <w:jc w:val="both"/>
        <w:rPr>
          <w:sz w:val="20"/>
          <w:lang w:val="ro-RO"/>
        </w:rPr>
      </w:pPr>
      <w:hyperlink r:id="rId11" w:history="1">
        <w:r w:rsidRPr="00D11CBA">
          <w:rPr>
            <w:rStyle w:val="Hyperlink"/>
            <w:sz w:val="20"/>
          </w:rPr>
          <w:t>http://www.ecum.ro/infoecum/files/misiune_si_evanghelizare_in_unitate.pdf</w:t>
        </w:r>
      </w:hyperlink>
    </w:p>
  </w:footnote>
  <w:footnote w:id="16">
    <w:p w:rsidR="00572744" w:rsidRPr="00834141" w:rsidRDefault="00572744" w:rsidP="00572744">
      <w:pPr>
        <w:pStyle w:val="FootnoteText"/>
        <w:ind w:left="-1350" w:right="-990"/>
        <w:rPr>
          <w:sz w:val="20"/>
          <w:lang w:val="nl-NL"/>
        </w:rPr>
      </w:pPr>
      <w:r w:rsidRPr="00834141">
        <w:rPr>
          <w:rStyle w:val="FootnoteReference"/>
          <w:sz w:val="20"/>
        </w:rPr>
        <w:footnoteRef/>
      </w:r>
      <w:r w:rsidRPr="00834141">
        <w:rPr>
          <w:sz w:val="20"/>
          <w:lang w:val="nl-NL"/>
        </w:rPr>
        <w:t xml:space="preserve"> </w:t>
      </w:r>
      <w:r w:rsidRPr="00834141">
        <w:rPr>
          <w:sz w:val="20"/>
        </w:rPr>
        <w:t>Dr. Namsoon Kang, „The Centrality of Gender Justice in Prophetic Christianity and the Mission of the Church Rediscovered”,</w:t>
      </w:r>
      <w:r w:rsidRPr="00834141">
        <w:rPr>
          <w:i/>
          <w:sz w:val="20"/>
        </w:rPr>
        <w:t xml:space="preserve"> </w:t>
      </w:r>
      <w:r w:rsidRPr="00834141">
        <w:rPr>
          <w:sz w:val="20"/>
        </w:rPr>
        <w:t>in IRM</w:t>
      </w:r>
      <w:r w:rsidRPr="00834141">
        <w:rPr>
          <w:i/>
          <w:sz w:val="20"/>
        </w:rPr>
        <w:t xml:space="preserve"> </w:t>
      </w:r>
      <w:r w:rsidRPr="00834141">
        <w:rPr>
          <w:sz w:val="20"/>
        </w:rPr>
        <w:t>( International Review of Mission), 94 (373, April 2005), p.</w:t>
      </w:r>
      <w:r w:rsidRPr="00834141">
        <w:rPr>
          <w:sz w:val="20"/>
          <w:lang w:val="nl-NL"/>
        </w:rPr>
        <w:t xml:space="preserve">281 </w:t>
      </w:r>
    </w:p>
  </w:footnote>
  <w:footnote w:id="17">
    <w:p w:rsidR="00572744" w:rsidRPr="00A54647" w:rsidRDefault="00572744" w:rsidP="00572744">
      <w:pPr>
        <w:pStyle w:val="FootnoteText"/>
        <w:ind w:left="-1350" w:right="-990"/>
        <w:rPr>
          <w:sz w:val="20"/>
        </w:rPr>
      </w:pPr>
      <w:r w:rsidRPr="00834141">
        <w:rPr>
          <w:rStyle w:val="FootnoteReference"/>
          <w:sz w:val="20"/>
        </w:rPr>
        <w:footnoteRef/>
      </w:r>
      <w:r w:rsidRPr="00834141">
        <w:rPr>
          <w:sz w:val="20"/>
        </w:rPr>
        <w:t xml:space="preserve">David Bosh, </w:t>
      </w:r>
      <w:r w:rsidRPr="00834141">
        <w:rPr>
          <w:i/>
          <w:sz w:val="20"/>
        </w:rPr>
        <w:t>Transformin</w:t>
      </w:r>
      <w:r w:rsidRPr="00A54647">
        <w:rPr>
          <w:i/>
          <w:sz w:val="20"/>
        </w:rPr>
        <w:t>g Mission: Paradigm Shifts in Theology of Mission</w:t>
      </w:r>
      <w:r w:rsidRPr="00A54647">
        <w:rPr>
          <w:sz w:val="20"/>
        </w:rPr>
        <w:t>, Maryknoll, N.Y., Orbis Press, 1991, p.389</w:t>
      </w:r>
    </w:p>
  </w:footnote>
  <w:footnote w:id="18">
    <w:p w:rsidR="00572744" w:rsidRPr="00834141" w:rsidRDefault="00572744" w:rsidP="00572744">
      <w:pPr>
        <w:pStyle w:val="FootnoteText"/>
        <w:ind w:left="-1350" w:right="-990"/>
        <w:rPr>
          <w:sz w:val="20"/>
        </w:rPr>
      </w:pPr>
      <w:r w:rsidRPr="00A54647">
        <w:rPr>
          <w:rStyle w:val="FootnoteReference"/>
          <w:sz w:val="20"/>
        </w:rPr>
        <w:footnoteRef/>
      </w:r>
      <w:r w:rsidRPr="00A54647">
        <w:rPr>
          <w:i/>
          <w:sz w:val="20"/>
        </w:rPr>
        <w:t xml:space="preserve"> </w:t>
      </w:r>
      <w:r w:rsidRPr="00A54647">
        <w:rPr>
          <w:sz w:val="20"/>
        </w:rPr>
        <w:t xml:space="preserve">Tormod Engelsviken </w:t>
      </w:r>
      <w:r w:rsidRPr="00834141">
        <w:rPr>
          <w:sz w:val="20"/>
        </w:rPr>
        <w:t>„</w:t>
      </w:r>
      <w:r w:rsidRPr="00834141">
        <w:rPr>
          <w:i/>
          <w:sz w:val="20"/>
        </w:rPr>
        <w:t xml:space="preserve"> Missio Dei</w:t>
      </w:r>
      <w:r w:rsidRPr="00834141">
        <w:rPr>
          <w:sz w:val="20"/>
        </w:rPr>
        <w:t>: The Understanding and Misunderstanding of a Theological Concept in European Churches and Missiology”, in IRM, XCII ( 367, October 2003),p. 482</w:t>
      </w:r>
    </w:p>
  </w:footnote>
  <w:footnote w:id="19">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James A.Scherer, ed., </w:t>
      </w:r>
      <w:r w:rsidRPr="00834141">
        <w:rPr>
          <w:i/>
          <w:sz w:val="20"/>
        </w:rPr>
        <w:t>Gospel, Church, &amp; Kingdom: Comparative Studies in World Mission Theology,</w:t>
      </w:r>
      <w:r w:rsidRPr="00834141">
        <w:rPr>
          <w:sz w:val="20"/>
        </w:rPr>
        <w:t xml:space="preserve"> Minneapolis, Augsburg Publishing House, 1987, p.55. </w:t>
      </w:r>
    </w:p>
  </w:footnote>
  <w:footnote w:id="20">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Op.cit</w:t>
      </w:r>
      <w:r w:rsidRPr="00834141">
        <w:rPr>
          <w:sz w:val="20"/>
        </w:rPr>
        <w:t>., p.482</w:t>
      </w:r>
    </w:p>
  </w:footnote>
  <w:footnote w:id="21">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Ibidem</w:t>
      </w:r>
    </w:p>
  </w:footnote>
  <w:footnote w:id="22">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Ibidem</w:t>
      </w:r>
    </w:p>
  </w:footnote>
  <w:footnote w:id="23">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Lalsangkima Pachuau, „Missiology in a Pluralistic World. The Place of Mission st</w:t>
      </w:r>
      <w:r>
        <w:rPr>
          <w:sz w:val="20"/>
        </w:rPr>
        <w:t xml:space="preserve">udy in Theological Education”, </w:t>
      </w:r>
      <w:r>
        <w:rPr>
          <w:sz w:val="20"/>
          <w:lang w:val="ro-RO"/>
        </w:rPr>
        <w:t>î</w:t>
      </w:r>
      <w:r w:rsidRPr="00834141">
        <w:rPr>
          <w:sz w:val="20"/>
        </w:rPr>
        <w:t xml:space="preserve">n </w:t>
      </w:r>
      <w:r w:rsidRPr="0049488A">
        <w:rPr>
          <w:sz w:val="20"/>
        </w:rPr>
        <w:t>IRM</w:t>
      </w:r>
      <w:r w:rsidRPr="00834141">
        <w:rPr>
          <w:sz w:val="20"/>
        </w:rPr>
        <w:t>,</w:t>
      </w:r>
      <w:r>
        <w:rPr>
          <w:sz w:val="20"/>
        </w:rPr>
        <w:t xml:space="preserve"> </w:t>
      </w:r>
      <w:r w:rsidRPr="00834141">
        <w:rPr>
          <w:sz w:val="20"/>
        </w:rPr>
        <w:t>LXXXIX,</w:t>
      </w:r>
      <w:r>
        <w:rPr>
          <w:sz w:val="20"/>
        </w:rPr>
        <w:t xml:space="preserve"> </w:t>
      </w:r>
      <w:r w:rsidRPr="00834141">
        <w:rPr>
          <w:sz w:val="20"/>
        </w:rPr>
        <w:t>(355,October 2000 )</w:t>
      </w:r>
      <w:r w:rsidRPr="00834141">
        <w:rPr>
          <w:i/>
          <w:sz w:val="20"/>
        </w:rPr>
        <w:t xml:space="preserve"> </w:t>
      </w:r>
      <w:r w:rsidRPr="00834141">
        <w:rPr>
          <w:sz w:val="20"/>
        </w:rPr>
        <w:t>p.543</w:t>
      </w:r>
    </w:p>
  </w:footnote>
  <w:footnote w:id="24">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Tormod Engelsviken „ </w:t>
      </w:r>
      <w:r w:rsidRPr="00834141">
        <w:rPr>
          <w:i/>
          <w:sz w:val="20"/>
        </w:rPr>
        <w:t>Missio Dei</w:t>
      </w:r>
      <w:r w:rsidRPr="00834141">
        <w:rPr>
          <w:sz w:val="20"/>
        </w:rPr>
        <w:t xml:space="preserve">: The Basis of Mission Theology or a Wrong Path?”, </w:t>
      </w:r>
      <w:r w:rsidRPr="00834141">
        <w:rPr>
          <w:sz w:val="20"/>
          <w:lang w:val="ro-RO"/>
        </w:rPr>
        <w:t>î</w:t>
      </w:r>
      <w:r w:rsidRPr="00834141">
        <w:rPr>
          <w:sz w:val="20"/>
        </w:rPr>
        <w:t xml:space="preserve">n </w:t>
      </w:r>
      <w:r w:rsidRPr="0049488A">
        <w:rPr>
          <w:sz w:val="20"/>
        </w:rPr>
        <w:t>IRM</w:t>
      </w:r>
      <w:r w:rsidRPr="00834141">
        <w:rPr>
          <w:i/>
          <w:sz w:val="20"/>
        </w:rPr>
        <w:t>,</w:t>
      </w:r>
      <w:r w:rsidRPr="00834141">
        <w:rPr>
          <w:sz w:val="20"/>
        </w:rPr>
        <w:t xml:space="preserve"> XCII (367,October 2003), pp.589, 590</w:t>
      </w:r>
    </w:p>
  </w:footnote>
  <w:footnote w:id="25">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Ibidem</w:t>
      </w:r>
      <w:r w:rsidRPr="00834141">
        <w:rPr>
          <w:sz w:val="20"/>
        </w:rPr>
        <w:t xml:space="preserve"> p.596</w:t>
      </w:r>
      <w:r w:rsidRPr="00834141">
        <w:rPr>
          <w:i/>
          <w:sz w:val="20"/>
        </w:rPr>
        <w:t xml:space="preserve"> </w:t>
      </w:r>
    </w:p>
  </w:footnote>
  <w:footnote w:id="26">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„Mission and Evangelism in Unity Today”, în vol.: </w:t>
      </w:r>
      <w:r w:rsidRPr="00834141">
        <w:rPr>
          <w:i/>
          <w:sz w:val="20"/>
        </w:rPr>
        <w:t>„You are the Light of the World”. Statements on Mission by the World Council of Churches 1980-2005</w:t>
      </w:r>
      <w:r w:rsidRPr="00834141">
        <w:rPr>
          <w:sz w:val="20"/>
        </w:rPr>
        <w:t xml:space="preserve">, WCC Publications, Geneva 2005, p.65; a se v. t.r. în </w:t>
      </w:r>
      <w:r w:rsidRPr="00834141">
        <w:rPr>
          <w:bCs/>
          <w:snapToGrid w:val="0"/>
          <w:sz w:val="20"/>
        </w:rPr>
        <w:t>Pr.lect.dr.Nicolae Moşoiu</w:t>
      </w:r>
      <w:r w:rsidRPr="00834141">
        <w:rPr>
          <w:b/>
          <w:bCs/>
          <w:snapToGrid w:val="0"/>
          <w:sz w:val="20"/>
        </w:rPr>
        <w:t xml:space="preserve"> </w:t>
      </w:r>
      <w:r w:rsidRPr="00834141">
        <w:rPr>
          <w:snapToGrid w:val="0"/>
          <w:sz w:val="20"/>
        </w:rPr>
        <w:t>(autor coord.)</w:t>
      </w:r>
      <w:r w:rsidRPr="00834141">
        <w:rPr>
          <w:bCs/>
          <w:snapToGrid w:val="0"/>
          <w:sz w:val="20"/>
        </w:rPr>
        <w:t xml:space="preserve">, </w:t>
      </w:r>
      <w:r w:rsidRPr="00834141">
        <w:rPr>
          <w:bCs/>
          <w:i/>
          <w:iCs/>
          <w:snapToGrid w:val="0"/>
          <w:sz w:val="20"/>
        </w:rPr>
        <w:t>Elemente de</w:t>
      </w:r>
      <w:r w:rsidRPr="00834141">
        <w:rPr>
          <w:snapToGrid w:val="0"/>
          <w:sz w:val="20"/>
        </w:rPr>
        <w:t xml:space="preserve"> </w:t>
      </w:r>
      <w:r w:rsidRPr="00834141">
        <w:rPr>
          <w:bCs/>
          <w:i/>
          <w:iCs/>
          <w:snapToGrid w:val="0"/>
          <w:sz w:val="20"/>
        </w:rPr>
        <w:t>istorie, doctrină şi practică misionară- o perspectivă ecumenică</w:t>
      </w:r>
      <w:r w:rsidRPr="00834141">
        <w:rPr>
          <w:bCs/>
          <w:snapToGrid w:val="0"/>
          <w:sz w:val="20"/>
        </w:rPr>
        <w:t>,</w:t>
      </w:r>
      <w:r w:rsidRPr="00834141">
        <w:rPr>
          <w:b/>
          <w:bCs/>
          <w:snapToGrid w:val="0"/>
          <w:sz w:val="20"/>
        </w:rPr>
        <w:t xml:space="preserve"> </w:t>
      </w:r>
      <w:r w:rsidRPr="00834141">
        <w:rPr>
          <w:snapToGrid w:val="0"/>
          <w:sz w:val="20"/>
        </w:rPr>
        <w:t xml:space="preserve">Ed. </w:t>
      </w:r>
      <w:r w:rsidRPr="00834141">
        <w:rPr>
          <w:snapToGrid w:val="0"/>
          <w:sz w:val="20"/>
          <w:lang w:val="pt-BR"/>
        </w:rPr>
        <w:t>Universităţii “Lucian Blaga” din Sibiu,  2006, p.406</w:t>
      </w:r>
    </w:p>
  </w:footnote>
  <w:footnote w:id="27">
    <w:p w:rsidR="00572744" w:rsidRDefault="00572744" w:rsidP="00572744">
      <w:pPr>
        <w:pStyle w:val="FootnoteText"/>
        <w:ind w:left="-1354" w:right="-994"/>
        <w:jc w:val="both"/>
        <w:rPr>
          <w:sz w:val="20"/>
        </w:rPr>
      </w:pPr>
      <w:r w:rsidRPr="00834141">
        <w:rPr>
          <w:rStyle w:val="FootnoteReference"/>
          <w:sz w:val="20"/>
        </w:rPr>
        <w:footnoteRef/>
      </w:r>
      <w:r w:rsidRPr="00834141">
        <w:rPr>
          <w:sz w:val="20"/>
        </w:rPr>
        <w:t xml:space="preserve"> </w:t>
      </w:r>
      <w:r w:rsidRPr="00834141">
        <w:rPr>
          <w:i/>
          <w:sz w:val="20"/>
        </w:rPr>
        <w:t xml:space="preserve">The Church for Others and the Church for the World: A Quest for Structures for Missionary Congregations, </w:t>
      </w:r>
      <w:r w:rsidRPr="00834141">
        <w:rPr>
          <w:sz w:val="20"/>
        </w:rPr>
        <w:t xml:space="preserve"> Geneva, WCC,1968, p.20, quoted in L.Pachuau, </w:t>
      </w:r>
      <w:r w:rsidRPr="00834141">
        <w:rPr>
          <w:i/>
          <w:sz w:val="20"/>
        </w:rPr>
        <w:t>op.cit.</w:t>
      </w:r>
      <w:r w:rsidRPr="00834141">
        <w:rPr>
          <w:sz w:val="20"/>
        </w:rPr>
        <w:t>, p.544</w:t>
      </w:r>
      <w:r>
        <w:rPr>
          <w:sz w:val="20"/>
        </w:rPr>
        <w:t>.</w:t>
      </w:r>
      <w:r w:rsidRPr="003E60F9">
        <w:rPr>
          <w:i/>
          <w:sz w:val="20"/>
        </w:rPr>
        <w:t xml:space="preserve">Temele </w:t>
      </w:r>
      <w:r>
        <w:rPr>
          <w:i/>
          <w:sz w:val="20"/>
        </w:rPr>
        <w:t>A</w:t>
      </w:r>
      <w:r w:rsidRPr="003E60F9">
        <w:rPr>
          <w:i/>
          <w:sz w:val="20"/>
        </w:rPr>
        <w:t xml:space="preserve">dunărilor </w:t>
      </w:r>
      <w:r>
        <w:rPr>
          <w:i/>
          <w:sz w:val="20"/>
        </w:rPr>
        <w:t>g</w:t>
      </w:r>
      <w:r w:rsidRPr="003E60F9">
        <w:rPr>
          <w:i/>
          <w:sz w:val="20"/>
        </w:rPr>
        <w:t>enerale ale Consiliului Ecumenic al Bisericilor au ţinut seama întotdeauna de contex</w:t>
      </w:r>
      <w:r>
        <w:rPr>
          <w:sz w:val="20"/>
        </w:rPr>
        <w:t xml:space="preserve">. </w:t>
      </w:r>
      <w:r w:rsidRPr="00284E18">
        <w:rPr>
          <w:sz w:val="18"/>
          <w:szCs w:val="18"/>
        </w:rPr>
        <w:t>Prima Adunare generală s-a desfăşurat la Amsterdam, Olanda, în anul 1948, când s-a constituit Consiliului Ecumenic al Bisericilor, şi a avut ca temă : “</w:t>
      </w:r>
      <w:r w:rsidRPr="00284E18">
        <w:rPr>
          <w:i/>
          <w:sz w:val="18"/>
          <w:szCs w:val="18"/>
        </w:rPr>
        <w:t>Dezordinea provocată de om şi planul lui Dumnezeu</w:t>
      </w:r>
      <w:r w:rsidRPr="00284E18">
        <w:rPr>
          <w:sz w:val="18"/>
          <w:szCs w:val="18"/>
        </w:rPr>
        <w:t>”, reliefându-se realităţile post-belice. A II-a Adunare generală, Evanson, S.U.A.,1954, în plină epoca a “războiului rece” a avut ca temă : ”</w:t>
      </w:r>
      <w:r w:rsidRPr="00284E18">
        <w:rPr>
          <w:i/>
          <w:sz w:val="18"/>
          <w:szCs w:val="18"/>
        </w:rPr>
        <w:t>Hristos - Speranţa lumii</w:t>
      </w:r>
      <w:r w:rsidRPr="00284E18">
        <w:rPr>
          <w:sz w:val="18"/>
          <w:szCs w:val="18"/>
        </w:rPr>
        <w:t>”. New Delhi, India, 1961, a găzduit cea de a III-a Adunare generală, tema : “</w:t>
      </w:r>
      <w:r w:rsidRPr="00284E18">
        <w:rPr>
          <w:i/>
          <w:sz w:val="18"/>
          <w:szCs w:val="18"/>
        </w:rPr>
        <w:t>Iisus Hristos- Lumina lumii</w:t>
      </w:r>
      <w:r w:rsidRPr="00284E18">
        <w:rPr>
          <w:sz w:val="18"/>
          <w:szCs w:val="18"/>
        </w:rPr>
        <w:t>” fiind adecvată şi datorită încorporării Consiliului Misionar Internaţional şi primirii a 25 de noi membri, printre care şi  Bisericile ortodoxe aflate sub regim totalitar, şi Biserici din noile state independente. A IV-a Adunare generală, Uppsala, Suedia, 1968, având ca temă: “</w:t>
      </w:r>
      <w:r w:rsidRPr="00284E18">
        <w:rPr>
          <w:i/>
          <w:sz w:val="18"/>
          <w:szCs w:val="18"/>
        </w:rPr>
        <w:t>Iată, Eu fac toate lucrurile noi</w:t>
      </w:r>
      <w:r w:rsidRPr="00284E18">
        <w:rPr>
          <w:sz w:val="18"/>
          <w:szCs w:val="18"/>
        </w:rPr>
        <w:t>”, a fost marcată de continuarea extinderii numărului de membri, dar şi de Conciliul al II-lea Vatican care a făcut posibilă participarea observatorilor catolici şi discutarea dezvoltării cooperării dintre Consiliu şi Biserica Romano-Catolică. A V-a Adunare generală, Nairobi, Kenya, 1975, a avut ca temă : “</w:t>
      </w:r>
      <w:r w:rsidRPr="00284E18">
        <w:rPr>
          <w:i/>
          <w:sz w:val="18"/>
          <w:szCs w:val="18"/>
        </w:rPr>
        <w:t>Iisus Hristos eliberează şi uneşte</w:t>
      </w:r>
      <w:r w:rsidRPr="00284E18">
        <w:rPr>
          <w:sz w:val="18"/>
          <w:szCs w:val="18"/>
        </w:rPr>
        <w:t>”, fiind prima adunare generală pe continentul african, dominat de exploatare şi de conflicte inter-etnice. A VI-a Adunare generală, Vancouver, Canada, 1983, a însemnat accentuarea rugăciunii comune, prilejuită şi de convergenţa teologică BEM (Baptism, Eucharist, Ministry) împreună cu experimentul ecumenic “Liturghia de la Lima” (1982) ; ameninţarea nucleară şi neo-colonialismul au inspirat tema: “</w:t>
      </w:r>
      <w:r w:rsidRPr="00284E18">
        <w:rPr>
          <w:i/>
          <w:sz w:val="18"/>
          <w:szCs w:val="18"/>
        </w:rPr>
        <w:t xml:space="preserve">Iisus Hristos- Viaţa lumii </w:t>
      </w:r>
      <w:r w:rsidRPr="00284E18">
        <w:rPr>
          <w:sz w:val="18"/>
          <w:szCs w:val="18"/>
        </w:rPr>
        <w:t>”. A VII-a Adunare generală, Canberra, Australia, 1991, a avut ca temă invocarea Persoanei Duhului Sfânt: “</w:t>
      </w:r>
      <w:r w:rsidRPr="00284E18">
        <w:rPr>
          <w:i/>
          <w:sz w:val="18"/>
          <w:szCs w:val="18"/>
        </w:rPr>
        <w:t>Vino, Duhule Sfinte- reînnoieşte întreaga creaţie</w:t>
      </w:r>
      <w:r w:rsidRPr="00284E18">
        <w:rPr>
          <w:sz w:val="18"/>
          <w:szCs w:val="18"/>
        </w:rPr>
        <w:t>”; s-a acordat multă atenţie problemelor indigenilor într-o perioada când, chiar dacă foarte târziu, se aborda serios tema “Evanghelie şi culturi”, dar, la aceeaşi Adunare generală, s-au şi provocat crize prin tendinţele sincretiste, prin limbajul inclusiv, prin presiuni ale mişcării feministe şi mai ales prin exacerbarea manifestării grupurilor minoritare sexuale. Bisericile ortodoxe au reacţionat vehement, două, cea din Bulgaria şi cea din Georgia  s-au retras din CEB, dar a VIII-a Adunare generală, Harare, Zimbabwe, 1998, a instituit Comisia specială pentru participarea ortodoxă la Consiliu, care a reuşit să elimine principalele probleme inacceptabile pentru ortodocşi. Tema de la Harare a fost “</w:t>
      </w:r>
      <w:r w:rsidRPr="00284E18">
        <w:rPr>
          <w:i/>
          <w:sz w:val="18"/>
          <w:szCs w:val="18"/>
        </w:rPr>
        <w:t>Întoarceţi-vă la Dumnezeu întru  bucuria speranţei</w:t>
      </w:r>
      <w:r w:rsidRPr="00284E18">
        <w:rPr>
          <w:sz w:val="18"/>
          <w:szCs w:val="18"/>
        </w:rPr>
        <w:t>”. Atunci s-a sărbătorit şi jubileul Consiliului, bucuria Adunării fiind augmentată de prezenţa preşedintelui Africii de Sud Nelson Mandela care s-a adresat plenului. Tema celei de a IX - a Adunări generale, Porto Alegre, Brazilia, 2006, a fost sintetizată sub forma unei rugăciuni de invocare a harului transformator al lui Dumnezeu Unul în Treime: “</w:t>
      </w:r>
      <w:r w:rsidRPr="00284E18">
        <w:rPr>
          <w:i/>
          <w:sz w:val="18"/>
          <w:szCs w:val="18"/>
        </w:rPr>
        <w:t>Doamne, prin harul Tău, transformă lumea</w:t>
      </w:r>
      <w:r w:rsidRPr="00284E18">
        <w:rPr>
          <w:sz w:val="18"/>
          <w:szCs w:val="18"/>
        </w:rPr>
        <w:t>”. A fost şi un răspuns la tema Forum-ului Social Mondial (World Social Forum) : “</w:t>
      </w:r>
      <w:r w:rsidRPr="00284E18">
        <w:rPr>
          <w:i/>
          <w:sz w:val="18"/>
          <w:szCs w:val="18"/>
        </w:rPr>
        <w:t>O altă lume este posibilă</w:t>
      </w:r>
      <w:r w:rsidRPr="00284E18">
        <w:rPr>
          <w:sz w:val="18"/>
          <w:szCs w:val="18"/>
        </w:rPr>
        <w:t>” desfăşurat cu puţin timp înainte în acelaşi loc. La Dumnezeu toate sunt cu putinţă, iar o transformare în bine şi de durată se poate realiza doar sinergic.</w:t>
      </w:r>
    </w:p>
    <w:p w:rsidR="00572744" w:rsidRPr="00834141" w:rsidRDefault="00572744" w:rsidP="00572744">
      <w:pPr>
        <w:pStyle w:val="FootnoteText"/>
        <w:ind w:left="-1354" w:right="-994"/>
        <w:rPr>
          <w:sz w:val="20"/>
        </w:rPr>
      </w:pPr>
    </w:p>
  </w:footnote>
  <w:footnote w:id="28">
    <w:p w:rsidR="00572744" w:rsidRPr="00834141" w:rsidRDefault="00572744" w:rsidP="00572744">
      <w:pPr>
        <w:pStyle w:val="FootnoteText"/>
        <w:ind w:left="-1354" w:right="-994"/>
        <w:rPr>
          <w:sz w:val="20"/>
        </w:rPr>
      </w:pPr>
      <w:r w:rsidRPr="00834141">
        <w:rPr>
          <w:rStyle w:val="FootnoteReference"/>
          <w:sz w:val="20"/>
        </w:rPr>
        <w:footnoteRef/>
      </w:r>
      <w:r w:rsidRPr="00834141">
        <w:rPr>
          <w:sz w:val="20"/>
        </w:rPr>
        <w:t xml:space="preserve"> L.Pachuau, </w:t>
      </w:r>
      <w:r w:rsidRPr="00834141">
        <w:rPr>
          <w:i/>
          <w:sz w:val="20"/>
        </w:rPr>
        <w:t>op.cit</w:t>
      </w:r>
      <w:r w:rsidRPr="00834141">
        <w:rPr>
          <w:sz w:val="20"/>
        </w:rPr>
        <w:t>., p.544</w:t>
      </w:r>
    </w:p>
  </w:footnote>
  <w:footnote w:id="29">
    <w:p w:rsidR="00572744" w:rsidRPr="00834141" w:rsidRDefault="00572744" w:rsidP="00572744">
      <w:pPr>
        <w:pStyle w:val="FootnoteText"/>
        <w:ind w:left="-1354" w:right="-994"/>
        <w:jc w:val="both"/>
        <w:rPr>
          <w:sz w:val="20"/>
        </w:rPr>
      </w:pPr>
      <w:r w:rsidRPr="00834141">
        <w:rPr>
          <w:rStyle w:val="FootnoteReference"/>
          <w:sz w:val="20"/>
        </w:rPr>
        <w:footnoteRef/>
      </w:r>
      <w:r w:rsidRPr="00834141">
        <w:rPr>
          <w:sz w:val="20"/>
        </w:rPr>
        <w:t xml:space="preserve"> George Tsetsis, “The Meaning of the Orthodox Presence in the Ecumenical Movement”, în: </w:t>
      </w:r>
      <w:r w:rsidRPr="00834141">
        <w:rPr>
          <w:i/>
          <w:sz w:val="20"/>
        </w:rPr>
        <w:t>Orthodox Visions of Ecumenism</w:t>
      </w:r>
      <w:r w:rsidRPr="00834141">
        <w:rPr>
          <w:sz w:val="20"/>
        </w:rPr>
        <w:t xml:space="preserve">, compiled by Gennadios Limouris, WCC Publications, 1994, p.272 </w:t>
      </w:r>
    </w:p>
  </w:footnote>
  <w:footnote w:id="30">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w:t>
      </w:r>
      <w:r w:rsidRPr="00834141">
        <w:rPr>
          <w:i/>
          <w:sz w:val="20"/>
        </w:rPr>
        <w:t>Ibidem.</w:t>
      </w:r>
      <w:r w:rsidRPr="00834141">
        <w:rPr>
          <w:sz w:val="20"/>
        </w:rPr>
        <w:t xml:space="preserve"> Din păcate, această atitudine s-a făcut simţită şi la Harare, unde a avut loc cea de a opta Adunare generală a Consiliului (4-13 decembrie 1998), cauza constituind-o retragerea, intenţia de a se retrage sau nesemnificativa participare a unor Biserici Ortodoxe. După ce s-a explicat - reprezentantul Georgiei având o mişcătoare intervenţie în acest sens -  că aceste hotărâri s-au luat ca ultimă soluţie la presiunea puternicelor grupuri conservatoare, anti-ecumeniste, a căror acţiuni au dus şi ar fi putut duce în continuare la schismă internă, situaţia a început să fie înţeleasă şi s-a hotărât constituirea unor comisii care să analizeze foarte serios problemele apărute şi să redefinească prezenţa şi participarea ortodoxă.</w:t>
      </w:r>
    </w:p>
  </w:footnote>
  <w:footnote w:id="31">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W.A.Visser’t Hooft, </w:t>
      </w:r>
      <w:r w:rsidRPr="00834141">
        <w:rPr>
          <w:i/>
          <w:sz w:val="20"/>
        </w:rPr>
        <w:t>The Genesis and Formation of the World Council of Churches</w:t>
      </w:r>
      <w:r w:rsidRPr="00834141">
        <w:rPr>
          <w:sz w:val="20"/>
        </w:rPr>
        <w:t xml:space="preserve">, Geneva, WCC, 1982, p.1, la G. Tsetsis, </w:t>
      </w:r>
      <w:r w:rsidRPr="00834141">
        <w:rPr>
          <w:i/>
          <w:sz w:val="20"/>
        </w:rPr>
        <w:t>op.cit</w:t>
      </w:r>
      <w:r w:rsidRPr="00834141">
        <w:rPr>
          <w:sz w:val="20"/>
        </w:rPr>
        <w:t xml:space="preserve">., p. 272. Într-o predică rostită în Catedrala Sfântul Petru la 8 noiembrie 1967, cu ocazia vizitei Patriarhului ecumenic Athenagora, W.A.Visser’t Hooft, secretarul general de atunci al CEB, afirma: “Biserica din Constantinopol a fost  în istoria modernă prima care ne-a reamintit că creştinătatea din toată lumea ar fi neascultătoare faţă de dorinţa Domnului şi Mântuitorului său, dacă nu s-ar strădui să facă vizibilă în lume unitatea poporului lui Dumnezeu şi a trupului lui Hristos”, text la G.Tsetsis, </w:t>
      </w:r>
      <w:r w:rsidRPr="00834141">
        <w:rPr>
          <w:i/>
          <w:sz w:val="20"/>
        </w:rPr>
        <w:t>L’Eglise orthodoxe et le mouvement oecumenique</w:t>
      </w:r>
      <w:r w:rsidRPr="00834141">
        <w:rPr>
          <w:sz w:val="20"/>
        </w:rPr>
        <w:t xml:space="preserve">, în : Le monde religieux, vol.32, 1975, p.152  </w:t>
      </w:r>
    </w:p>
  </w:footnote>
  <w:footnote w:id="32">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“Encyclical of the Ecumenical Patriarchate”, 1920, în The Ecumenical Review, vol.XII, octombrie 1959, p.79-82; reed. în: </w:t>
      </w:r>
      <w:r w:rsidRPr="00834141">
        <w:rPr>
          <w:i/>
          <w:sz w:val="20"/>
        </w:rPr>
        <w:t>The Orthodox Church in the Ecumenical Movement</w:t>
      </w:r>
      <w:r w:rsidRPr="00834141">
        <w:rPr>
          <w:sz w:val="20"/>
        </w:rPr>
        <w:t>, edited by Constantin Patelos, Geneva, WCC Publications, 1978, p.40-44</w:t>
      </w:r>
    </w:p>
  </w:footnote>
  <w:footnote w:id="33">
    <w:p w:rsidR="00572744" w:rsidRPr="00834141" w:rsidRDefault="00572744" w:rsidP="00572744">
      <w:pPr>
        <w:pStyle w:val="FootnoteText"/>
        <w:ind w:left="-1350" w:right="-990"/>
        <w:rPr>
          <w:sz w:val="20"/>
          <w:lang w:val="fr-FR"/>
        </w:rPr>
      </w:pPr>
      <w:r w:rsidRPr="00834141">
        <w:rPr>
          <w:rStyle w:val="FootnoteReference"/>
          <w:sz w:val="20"/>
        </w:rPr>
        <w:footnoteRef/>
      </w:r>
      <w:r w:rsidRPr="00834141">
        <w:rPr>
          <w:sz w:val="20"/>
          <w:lang w:val="fr-FR"/>
        </w:rPr>
        <w:t xml:space="preserve"> </w:t>
      </w:r>
      <w:r w:rsidRPr="00834141">
        <w:rPr>
          <w:i/>
          <w:sz w:val="20"/>
          <w:lang w:val="fr-FR"/>
        </w:rPr>
        <w:t>Actes de la Conference des Eglises autocephales orthodoxes</w:t>
      </w:r>
      <w:r w:rsidRPr="00834141">
        <w:rPr>
          <w:sz w:val="20"/>
          <w:lang w:val="fr-FR"/>
        </w:rPr>
        <w:t xml:space="preserve">, vol.II, Moscova, 1952, p.450 </w:t>
      </w:r>
    </w:p>
  </w:footnote>
  <w:footnote w:id="34">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G.Tsesis,</w:t>
      </w:r>
      <w:r w:rsidRPr="00834141">
        <w:rPr>
          <w:i/>
          <w:sz w:val="20"/>
        </w:rPr>
        <w:t xml:space="preserve"> </w:t>
      </w:r>
      <w:r w:rsidRPr="00834141">
        <w:rPr>
          <w:sz w:val="20"/>
        </w:rPr>
        <w:t xml:space="preserve">“The Meaning of Orthodox Presence (…)”, </w:t>
      </w:r>
      <w:r w:rsidRPr="00834141">
        <w:rPr>
          <w:i/>
          <w:sz w:val="20"/>
        </w:rPr>
        <w:t>op. cit.</w:t>
      </w:r>
      <w:r w:rsidRPr="00834141">
        <w:rPr>
          <w:sz w:val="20"/>
        </w:rPr>
        <w:t>, p.273</w:t>
      </w:r>
    </w:p>
  </w:footnote>
  <w:footnote w:id="35">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Pr.Prof. Dr.Dumitru Stăniloae, </w:t>
      </w:r>
      <w:r w:rsidRPr="00834141">
        <w:rPr>
          <w:i/>
          <w:sz w:val="20"/>
        </w:rPr>
        <w:t>Teologia Dogmatică Ortodoxă- pentru Institutele teologice, vol.</w:t>
      </w:r>
      <w:r w:rsidRPr="00834141">
        <w:rPr>
          <w:sz w:val="20"/>
        </w:rPr>
        <w:t xml:space="preserve">I, Bucureşti, 1978, p.53 </w:t>
      </w:r>
      <w:r w:rsidRPr="00834141">
        <w:rPr>
          <w:i/>
          <w:sz w:val="20"/>
        </w:rPr>
        <w:t>[TDO 1]</w:t>
      </w:r>
    </w:p>
  </w:footnote>
  <w:footnote w:id="36">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 xml:space="preserve">Ibidem, </w:t>
      </w:r>
      <w:r w:rsidRPr="00834141">
        <w:rPr>
          <w:sz w:val="20"/>
        </w:rPr>
        <w:t>p.58</w:t>
      </w:r>
    </w:p>
  </w:footnote>
  <w:footnote w:id="37">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w:t>
      </w:r>
      <w:r w:rsidRPr="00834141">
        <w:rPr>
          <w:i/>
          <w:sz w:val="20"/>
        </w:rPr>
        <w:t>Idem</w:t>
      </w:r>
      <w:r w:rsidRPr="00834141">
        <w:rPr>
          <w:sz w:val="20"/>
        </w:rPr>
        <w:t>,</w:t>
      </w:r>
      <w:r w:rsidRPr="00834141">
        <w:rPr>
          <w:i/>
          <w:sz w:val="20"/>
        </w:rPr>
        <w:t xml:space="preserve"> “</w:t>
      </w:r>
      <w:r w:rsidRPr="00834141">
        <w:rPr>
          <w:sz w:val="20"/>
        </w:rPr>
        <w:t>Concepţia ortodoxă despre Tradiţie şi despre dezvoltarea doctrinei”, în Ortodoxia, nr.1, 1975, p.5</w:t>
      </w:r>
    </w:p>
  </w:footnote>
  <w:footnote w:id="38">
    <w:p w:rsidR="00572744" w:rsidRPr="00834141" w:rsidRDefault="00572744" w:rsidP="00572744">
      <w:pPr>
        <w:pStyle w:val="FootnoteText"/>
        <w:ind w:left="-1350" w:right="-990"/>
        <w:jc w:val="both"/>
        <w:rPr>
          <w:sz w:val="20"/>
          <w:lang w:val="fr-FR"/>
        </w:rPr>
      </w:pPr>
      <w:r w:rsidRPr="00834141">
        <w:rPr>
          <w:rStyle w:val="FootnoteReference"/>
          <w:sz w:val="20"/>
        </w:rPr>
        <w:footnoteRef/>
      </w:r>
      <w:r w:rsidRPr="00834141">
        <w:rPr>
          <w:sz w:val="20"/>
          <w:lang w:val="fr-FR"/>
        </w:rPr>
        <w:t xml:space="preserve"> Publicat în  vol.:</w:t>
      </w:r>
      <w:r w:rsidRPr="00834141">
        <w:rPr>
          <w:i/>
          <w:sz w:val="20"/>
          <w:lang w:val="fr-FR"/>
        </w:rPr>
        <w:t>Nouveaute dans l’oecumenisme,</w:t>
      </w:r>
      <w:r w:rsidRPr="00834141">
        <w:rPr>
          <w:sz w:val="20"/>
          <w:lang w:val="fr-FR"/>
        </w:rPr>
        <w:t>Les Presses de Taise,1970</w:t>
      </w:r>
    </w:p>
  </w:footnote>
  <w:footnote w:id="39">
    <w:p w:rsidR="00572744" w:rsidRPr="00834141" w:rsidRDefault="00572744" w:rsidP="00572744">
      <w:pPr>
        <w:pStyle w:val="FootnoteText"/>
        <w:ind w:left="-1350" w:right="-990"/>
        <w:jc w:val="both"/>
        <w:rPr>
          <w:sz w:val="20"/>
          <w:lang w:val="fr-FR"/>
        </w:rPr>
      </w:pPr>
      <w:r w:rsidRPr="00834141">
        <w:rPr>
          <w:rStyle w:val="FootnoteReference"/>
          <w:sz w:val="20"/>
        </w:rPr>
        <w:footnoteRef/>
      </w:r>
      <w:r w:rsidRPr="00834141">
        <w:rPr>
          <w:sz w:val="20"/>
          <w:lang w:val="fr-FR"/>
        </w:rPr>
        <w:t xml:space="preserve"> Pr.prof.Dumitru Stăniloae,</w:t>
      </w:r>
      <w:r w:rsidRPr="00834141">
        <w:rPr>
          <w:i/>
          <w:sz w:val="20"/>
          <w:lang w:val="fr-FR"/>
        </w:rPr>
        <w:t xml:space="preserve"> </w:t>
      </w:r>
      <w:r w:rsidRPr="00834141">
        <w:rPr>
          <w:i/>
          <w:sz w:val="20"/>
        </w:rPr>
        <w:t>“</w:t>
      </w:r>
      <w:r w:rsidRPr="00834141">
        <w:rPr>
          <w:sz w:val="20"/>
          <w:lang w:val="fr-FR"/>
        </w:rPr>
        <w:t>Sobornicitate deschisă</w:t>
      </w:r>
      <w:r w:rsidRPr="00834141">
        <w:rPr>
          <w:sz w:val="20"/>
        </w:rPr>
        <w:t>”</w:t>
      </w:r>
      <w:r w:rsidRPr="00834141">
        <w:rPr>
          <w:sz w:val="20"/>
          <w:lang w:val="fr-FR"/>
        </w:rPr>
        <w:t> , Ortodoxia, nr.2, 1971, p.165, doc. cit.p.58</w:t>
      </w:r>
    </w:p>
  </w:footnote>
  <w:footnote w:id="40">
    <w:p w:rsidR="00572744" w:rsidRPr="00834141" w:rsidRDefault="00572744" w:rsidP="00572744">
      <w:pPr>
        <w:pStyle w:val="FootnoteText"/>
        <w:ind w:left="-1350" w:right="-990"/>
        <w:rPr>
          <w:sz w:val="20"/>
          <w:lang w:val="es-ES"/>
        </w:rPr>
      </w:pPr>
      <w:r w:rsidRPr="00834141">
        <w:rPr>
          <w:rStyle w:val="FootnoteReference"/>
          <w:sz w:val="20"/>
        </w:rPr>
        <w:footnoteRef/>
      </w:r>
      <w:r w:rsidRPr="00834141">
        <w:rPr>
          <w:sz w:val="20"/>
          <w:lang w:val="es-ES"/>
        </w:rPr>
        <w:t xml:space="preserve"> </w:t>
      </w:r>
      <w:r w:rsidRPr="00834141">
        <w:rPr>
          <w:i/>
          <w:sz w:val="20"/>
          <w:lang w:val="es-ES"/>
        </w:rPr>
        <w:t>Ibidem</w:t>
      </w:r>
    </w:p>
  </w:footnote>
  <w:footnote w:id="41">
    <w:p w:rsidR="00572744" w:rsidRPr="00834141" w:rsidRDefault="00572744" w:rsidP="00572744">
      <w:pPr>
        <w:pStyle w:val="FootnoteText"/>
        <w:ind w:left="-1350" w:right="-990"/>
        <w:rPr>
          <w:sz w:val="20"/>
          <w:lang w:val="es-ES"/>
        </w:rPr>
      </w:pPr>
      <w:r w:rsidRPr="00834141">
        <w:rPr>
          <w:rStyle w:val="FootnoteReference"/>
          <w:sz w:val="20"/>
        </w:rPr>
        <w:footnoteRef/>
      </w:r>
      <w:r w:rsidRPr="00834141">
        <w:rPr>
          <w:sz w:val="20"/>
          <w:lang w:val="es-ES"/>
        </w:rPr>
        <w:t xml:space="preserve"> </w:t>
      </w:r>
      <w:r w:rsidRPr="00834141">
        <w:rPr>
          <w:i/>
          <w:sz w:val="20"/>
          <w:lang w:val="es-ES"/>
        </w:rPr>
        <w:t>Ibidem</w:t>
      </w:r>
      <w:r w:rsidRPr="00834141">
        <w:rPr>
          <w:sz w:val="20"/>
          <w:lang w:val="es-ES"/>
        </w:rPr>
        <w:t>, p.165</w:t>
      </w:r>
    </w:p>
  </w:footnote>
  <w:footnote w:id="42">
    <w:p w:rsidR="00572744" w:rsidRPr="00834141" w:rsidRDefault="00572744" w:rsidP="00572744">
      <w:pPr>
        <w:pStyle w:val="FootnoteText"/>
        <w:ind w:left="-1350" w:right="-990"/>
        <w:rPr>
          <w:sz w:val="20"/>
          <w:lang w:val="es-ES"/>
        </w:rPr>
      </w:pPr>
      <w:r w:rsidRPr="00834141">
        <w:rPr>
          <w:rStyle w:val="FootnoteReference"/>
          <w:sz w:val="20"/>
        </w:rPr>
        <w:footnoteRef/>
      </w:r>
      <w:r w:rsidRPr="00834141">
        <w:rPr>
          <w:sz w:val="20"/>
          <w:lang w:val="es-ES"/>
        </w:rPr>
        <w:t xml:space="preserve"> </w:t>
      </w:r>
      <w:r w:rsidRPr="00834141">
        <w:rPr>
          <w:i/>
          <w:sz w:val="20"/>
          <w:lang w:val="es-ES"/>
        </w:rPr>
        <w:t xml:space="preserve">Ibidem, </w:t>
      </w:r>
      <w:r w:rsidRPr="00834141">
        <w:rPr>
          <w:sz w:val="20"/>
          <w:lang w:val="es-ES"/>
        </w:rPr>
        <w:t>p.167</w:t>
      </w:r>
    </w:p>
  </w:footnote>
  <w:footnote w:id="43">
    <w:p w:rsidR="00572744" w:rsidRPr="00834141" w:rsidRDefault="00572744" w:rsidP="00572744">
      <w:pPr>
        <w:pStyle w:val="FootnoteText"/>
        <w:ind w:left="-1350" w:right="-990"/>
        <w:rPr>
          <w:sz w:val="20"/>
          <w:lang w:val="es-ES"/>
        </w:rPr>
      </w:pPr>
      <w:r w:rsidRPr="00834141">
        <w:rPr>
          <w:rStyle w:val="FootnoteReference"/>
          <w:sz w:val="20"/>
        </w:rPr>
        <w:footnoteRef/>
      </w:r>
      <w:r w:rsidRPr="00834141">
        <w:rPr>
          <w:sz w:val="20"/>
          <w:lang w:val="es-ES"/>
        </w:rPr>
        <w:t xml:space="preserve"> </w:t>
      </w:r>
      <w:r w:rsidRPr="00834141">
        <w:rPr>
          <w:i/>
          <w:sz w:val="20"/>
          <w:lang w:val="es-ES"/>
        </w:rPr>
        <w:t xml:space="preserve">Ibidem, </w:t>
      </w:r>
      <w:r w:rsidRPr="00834141">
        <w:rPr>
          <w:sz w:val="20"/>
          <w:lang w:val="es-ES"/>
        </w:rPr>
        <w:t>p.166</w:t>
      </w:r>
    </w:p>
  </w:footnote>
  <w:footnote w:id="44">
    <w:p w:rsidR="00572744" w:rsidRPr="00834141" w:rsidRDefault="00572744" w:rsidP="00572744">
      <w:pPr>
        <w:pStyle w:val="FootnoteText"/>
        <w:ind w:left="-1350" w:right="-990"/>
        <w:rPr>
          <w:sz w:val="20"/>
          <w:lang w:val="es-ES"/>
        </w:rPr>
      </w:pPr>
      <w:r w:rsidRPr="00834141">
        <w:rPr>
          <w:rStyle w:val="FootnoteReference"/>
          <w:sz w:val="20"/>
        </w:rPr>
        <w:footnoteRef/>
      </w:r>
      <w:r w:rsidRPr="00834141">
        <w:rPr>
          <w:sz w:val="20"/>
          <w:lang w:val="es-ES"/>
        </w:rPr>
        <w:t xml:space="preserve"> </w:t>
      </w:r>
      <w:r w:rsidRPr="00834141">
        <w:rPr>
          <w:i/>
          <w:sz w:val="20"/>
          <w:lang w:val="es-ES"/>
        </w:rPr>
        <w:t xml:space="preserve">Ibidem, </w:t>
      </w:r>
      <w:r w:rsidRPr="00834141">
        <w:rPr>
          <w:sz w:val="20"/>
          <w:lang w:val="es-ES"/>
        </w:rPr>
        <w:t>p.167</w:t>
      </w:r>
    </w:p>
  </w:footnote>
  <w:footnote w:id="45">
    <w:p w:rsidR="00572744" w:rsidRPr="00834141" w:rsidRDefault="00572744" w:rsidP="00572744">
      <w:pPr>
        <w:pStyle w:val="FootnoteText"/>
        <w:ind w:left="-1350" w:right="-990"/>
        <w:rPr>
          <w:sz w:val="20"/>
          <w:lang w:val="es-ES"/>
        </w:rPr>
      </w:pPr>
      <w:r w:rsidRPr="00834141">
        <w:rPr>
          <w:rStyle w:val="FootnoteReference"/>
          <w:sz w:val="20"/>
        </w:rPr>
        <w:footnoteRef/>
      </w:r>
      <w:r w:rsidRPr="00834141">
        <w:rPr>
          <w:sz w:val="20"/>
          <w:lang w:val="es-ES"/>
        </w:rPr>
        <w:t xml:space="preserve"> </w:t>
      </w:r>
      <w:r w:rsidRPr="00834141">
        <w:rPr>
          <w:i/>
          <w:sz w:val="20"/>
          <w:lang w:val="es-ES"/>
        </w:rPr>
        <w:t>Ibidem</w:t>
      </w:r>
    </w:p>
  </w:footnote>
  <w:footnote w:id="46">
    <w:p w:rsidR="00572744" w:rsidRPr="00834141" w:rsidRDefault="00572744" w:rsidP="00572744">
      <w:pPr>
        <w:pStyle w:val="FootnoteText"/>
        <w:ind w:left="-1350" w:right="-990"/>
        <w:rPr>
          <w:sz w:val="20"/>
          <w:lang w:val="es-ES"/>
        </w:rPr>
      </w:pPr>
      <w:r w:rsidRPr="00834141">
        <w:rPr>
          <w:rStyle w:val="FootnoteReference"/>
          <w:sz w:val="20"/>
        </w:rPr>
        <w:footnoteRef/>
      </w:r>
      <w:r w:rsidRPr="00834141">
        <w:rPr>
          <w:sz w:val="20"/>
          <w:lang w:val="es-ES"/>
        </w:rPr>
        <w:t xml:space="preserve"> </w:t>
      </w:r>
      <w:r w:rsidRPr="00834141">
        <w:rPr>
          <w:i/>
          <w:sz w:val="20"/>
          <w:lang w:val="es-ES"/>
        </w:rPr>
        <w:t>Ibidem,</w:t>
      </w:r>
      <w:r w:rsidRPr="00834141">
        <w:rPr>
          <w:sz w:val="20"/>
          <w:lang w:val="es-ES"/>
        </w:rPr>
        <w:t>p.169-170</w:t>
      </w:r>
    </w:p>
  </w:footnote>
  <w:footnote w:id="47">
    <w:p w:rsidR="00572744" w:rsidRPr="00834141" w:rsidRDefault="00572744" w:rsidP="00572744">
      <w:pPr>
        <w:pStyle w:val="FootnoteText"/>
        <w:ind w:left="-1350" w:right="-990"/>
        <w:jc w:val="both"/>
        <w:rPr>
          <w:sz w:val="20"/>
          <w:lang w:val="es-ES"/>
        </w:rPr>
      </w:pPr>
      <w:r w:rsidRPr="00834141">
        <w:rPr>
          <w:rStyle w:val="FootnoteReference"/>
          <w:sz w:val="20"/>
        </w:rPr>
        <w:footnoteRef/>
      </w:r>
      <w:r w:rsidRPr="00834141">
        <w:rPr>
          <w:sz w:val="20"/>
          <w:lang w:val="es-ES"/>
        </w:rPr>
        <w:t xml:space="preserve"> În acest sens, ÎPS Kallistos Ware scria: “Iată un scriitor ortodox care tratează Occidentul contemporan, fie creştin, fie cel necredincios, fără agresivitate şi fără frică. Chiar dacă critica sa referitoare la romano-catolicism, la prozelitism, sau la teologia radicală poate să apără uneori antagonică şi schematică, dincolo de această structură e o intenţie pozitivă”, în prefaţa la : Dumitru Stăniloae, </w:t>
      </w:r>
      <w:r w:rsidRPr="00834141">
        <w:rPr>
          <w:i/>
          <w:sz w:val="20"/>
          <w:lang w:val="es-ES"/>
        </w:rPr>
        <w:t xml:space="preserve">The Experience of God, </w:t>
      </w:r>
      <w:r w:rsidRPr="00834141">
        <w:rPr>
          <w:sz w:val="20"/>
          <w:lang w:val="es-ES"/>
        </w:rPr>
        <w:t>translated and edited by Ioan Ioniţă and Robert Barringer, Holy Cross Orthodox Press, 1989,p.XXIV</w:t>
      </w:r>
    </w:p>
  </w:footnote>
  <w:footnote w:id="48">
    <w:p w:rsidR="00572744" w:rsidRPr="00834141" w:rsidRDefault="00572744" w:rsidP="00572744">
      <w:pPr>
        <w:pStyle w:val="FootnoteText"/>
        <w:ind w:left="-1350" w:right="-990"/>
        <w:rPr>
          <w:sz w:val="20"/>
          <w:lang w:val="es-ES"/>
        </w:rPr>
      </w:pPr>
      <w:r w:rsidRPr="00834141">
        <w:rPr>
          <w:rStyle w:val="FootnoteReference"/>
          <w:sz w:val="20"/>
        </w:rPr>
        <w:footnoteRef/>
      </w:r>
      <w:r w:rsidRPr="00834141">
        <w:rPr>
          <w:sz w:val="20"/>
          <w:lang w:val="es-ES"/>
        </w:rPr>
        <w:t xml:space="preserve"> Pr.Prof.D.Stăniloae,</w:t>
      </w:r>
      <w:r w:rsidRPr="00834141">
        <w:rPr>
          <w:i/>
          <w:sz w:val="20"/>
          <w:lang w:val="es-ES"/>
        </w:rPr>
        <w:t xml:space="preserve"> “</w:t>
      </w:r>
      <w:r w:rsidRPr="00834141">
        <w:rPr>
          <w:sz w:val="20"/>
          <w:lang w:val="es-ES"/>
        </w:rPr>
        <w:t>Sobornicitate deschisă”</w:t>
      </w:r>
      <w:r w:rsidRPr="00834141">
        <w:rPr>
          <w:i/>
          <w:sz w:val="20"/>
          <w:lang w:val="es-ES"/>
        </w:rPr>
        <w:t>,op.cit.</w:t>
      </w:r>
      <w:r w:rsidRPr="00834141">
        <w:rPr>
          <w:sz w:val="20"/>
          <w:lang w:val="es-ES"/>
        </w:rPr>
        <w:t>, p.171</w:t>
      </w:r>
    </w:p>
  </w:footnote>
  <w:footnote w:id="49">
    <w:p w:rsidR="00572744" w:rsidRPr="00834141" w:rsidRDefault="00572744" w:rsidP="00572744">
      <w:pPr>
        <w:pStyle w:val="FootnoteText"/>
        <w:ind w:left="-1350" w:right="-990"/>
        <w:rPr>
          <w:sz w:val="20"/>
          <w:lang w:val="es-ES"/>
        </w:rPr>
      </w:pPr>
      <w:r w:rsidRPr="00834141">
        <w:rPr>
          <w:rStyle w:val="FootnoteReference"/>
          <w:sz w:val="20"/>
        </w:rPr>
        <w:footnoteRef/>
      </w:r>
      <w:r w:rsidRPr="00834141">
        <w:rPr>
          <w:sz w:val="20"/>
          <w:lang w:val="es-ES"/>
        </w:rPr>
        <w:t xml:space="preserve"> </w:t>
      </w:r>
      <w:r w:rsidRPr="00834141">
        <w:rPr>
          <w:i/>
          <w:sz w:val="20"/>
          <w:lang w:val="es-ES"/>
        </w:rPr>
        <w:t>Ibidem</w:t>
      </w:r>
    </w:p>
  </w:footnote>
  <w:footnote w:id="50">
    <w:p w:rsidR="00572744" w:rsidRPr="00834141" w:rsidRDefault="00572744" w:rsidP="00572744">
      <w:pPr>
        <w:pStyle w:val="FootnoteText"/>
        <w:ind w:left="-1350" w:right="-990"/>
        <w:jc w:val="both"/>
        <w:rPr>
          <w:sz w:val="20"/>
          <w:lang w:val="es-ES"/>
        </w:rPr>
      </w:pPr>
      <w:r w:rsidRPr="00834141">
        <w:rPr>
          <w:rStyle w:val="FootnoteReference"/>
          <w:sz w:val="20"/>
        </w:rPr>
        <w:footnoteRef/>
      </w:r>
      <w:r w:rsidRPr="00834141">
        <w:rPr>
          <w:sz w:val="20"/>
          <w:lang w:val="es-ES"/>
        </w:rPr>
        <w:t xml:space="preserve"> </w:t>
      </w:r>
      <w:r w:rsidRPr="00834141">
        <w:rPr>
          <w:i/>
          <w:sz w:val="20"/>
          <w:lang w:val="es-ES"/>
        </w:rPr>
        <w:t>Idem</w:t>
      </w:r>
      <w:r w:rsidRPr="00834141">
        <w:rPr>
          <w:sz w:val="20"/>
          <w:lang w:val="es-ES"/>
        </w:rPr>
        <w:t>,</w:t>
      </w:r>
      <w:r w:rsidRPr="00834141">
        <w:rPr>
          <w:i/>
          <w:sz w:val="20"/>
          <w:lang w:val="es-ES"/>
        </w:rPr>
        <w:t xml:space="preserve"> </w:t>
      </w:r>
      <w:r w:rsidRPr="00834141">
        <w:rPr>
          <w:sz w:val="20"/>
          <w:lang w:val="es-ES"/>
        </w:rPr>
        <w:t>“Doctrina luterană despre justificare şi cuvânt şi câteva reflecţii ortodoxe”, Ortodoxia nr.4, 1983, p.495-508</w:t>
      </w:r>
    </w:p>
  </w:footnote>
  <w:footnote w:id="51">
    <w:p w:rsidR="00572744" w:rsidRPr="00834141" w:rsidRDefault="00572744" w:rsidP="00572744">
      <w:pPr>
        <w:pStyle w:val="FootnoteText"/>
        <w:ind w:left="-1350" w:right="-990"/>
        <w:rPr>
          <w:sz w:val="20"/>
          <w:lang w:val="de-DE"/>
        </w:rPr>
      </w:pPr>
      <w:r w:rsidRPr="00834141">
        <w:rPr>
          <w:rStyle w:val="FootnoteReference"/>
          <w:sz w:val="20"/>
        </w:rPr>
        <w:footnoteRef/>
      </w:r>
      <w:r w:rsidRPr="00834141">
        <w:rPr>
          <w:sz w:val="20"/>
          <w:lang w:val="de-DE"/>
        </w:rPr>
        <w:t xml:space="preserve"> </w:t>
      </w:r>
      <w:r w:rsidRPr="00834141">
        <w:rPr>
          <w:i/>
          <w:sz w:val="20"/>
          <w:lang w:val="de-DE"/>
        </w:rPr>
        <w:t>Ibidem,</w:t>
      </w:r>
      <w:r w:rsidRPr="00834141">
        <w:rPr>
          <w:sz w:val="20"/>
          <w:lang w:val="de-DE"/>
        </w:rPr>
        <w:t>p.495</w:t>
      </w:r>
    </w:p>
  </w:footnote>
  <w:footnote w:id="52">
    <w:p w:rsidR="00572744" w:rsidRPr="00834141" w:rsidRDefault="00572744" w:rsidP="00572744">
      <w:pPr>
        <w:pStyle w:val="FootnoteText"/>
        <w:ind w:left="-1350" w:right="-990"/>
        <w:jc w:val="both"/>
        <w:rPr>
          <w:sz w:val="20"/>
          <w:lang w:val="de-DE"/>
        </w:rPr>
      </w:pPr>
      <w:r w:rsidRPr="00834141">
        <w:rPr>
          <w:rStyle w:val="FootnoteReference"/>
          <w:sz w:val="20"/>
        </w:rPr>
        <w:footnoteRef/>
      </w:r>
      <w:r w:rsidRPr="00834141">
        <w:rPr>
          <w:sz w:val="20"/>
          <w:lang w:val="de-DE"/>
        </w:rPr>
        <w:t xml:space="preserve"> “Justitia Dei bezeichnet fur Luther also das schopferischwirksame Ereignis der rechfertigenden Gnade Gottes und nicht eine gottliche Eigenschaft”, </w:t>
      </w:r>
      <w:r w:rsidRPr="00834141">
        <w:rPr>
          <w:sz w:val="20"/>
        </w:rPr>
        <w:t>Peter Stuhmacher,</w:t>
      </w:r>
      <w:r w:rsidRPr="00834141">
        <w:rPr>
          <w:i/>
          <w:sz w:val="20"/>
          <w:lang w:val="de-DE"/>
        </w:rPr>
        <w:t xml:space="preserve"> Gerechtigkeit Gottes bei Paulus, </w:t>
      </w:r>
      <w:r w:rsidRPr="00834141">
        <w:rPr>
          <w:sz w:val="20"/>
          <w:lang w:val="de-DE"/>
        </w:rPr>
        <w:t>Gottingen, 1966, p.20</w:t>
      </w:r>
    </w:p>
  </w:footnote>
  <w:footnote w:id="53">
    <w:p w:rsidR="00572744" w:rsidRPr="00834141" w:rsidRDefault="00572744" w:rsidP="00572744">
      <w:pPr>
        <w:pStyle w:val="FootnoteText"/>
        <w:ind w:left="-1350" w:right="-990"/>
        <w:jc w:val="both"/>
        <w:rPr>
          <w:sz w:val="20"/>
          <w:lang w:val="de-DE"/>
        </w:rPr>
      </w:pPr>
      <w:r w:rsidRPr="00834141">
        <w:rPr>
          <w:rStyle w:val="FootnoteReference"/>
          <w:sz w:val="20"/>
        </w:rPr>
        <w:footnoteRef/>
      </w:r>
      <w:r w:rsidRPr="00834141">
        <w:rPr>
          <w:sz w:val="20"/>
          <w:lang w:val="de-DE"/>
        </w:rPr>
        <w:t xml:space="preserve"> </w:t>
      </w:r>
      <w:r w:rsidRPr="00834141">
        <w:rPr>
          <w:i/>
          <w:sz w:val="20"/>
          <w:lang w:val="de-DE"/>
        </w:rPr>
        <w:t>Ibidem,</w:t>
      </w:r>
      <w:r w:rsidRPr="00834141">
        <w:rPr>
          <w:sz w:val="20"/>
          <w:lang w:val="de-DE"/>
        </w:rPr>
        <w:t xml:space="preserve">p.18, “Keiner der Vater ist darauf aufmerksam geworden, dass Paulus selbst Rechtfertigung und Schopfungssgen ineinander interpretiert zuordnet. Das Miteinander zu gewahren und von daher justitia als das Gottes Werk zu interpretieren ist Luthers Eigentliche exegetische Leitstung”, la Pr.Prof. D.Stăniloae, </w:t>
      </w:r>
      <w:r w:rsidRPr="00834141">
        <w:rPr>
          <w:sz w:val="20"/>
          <w:lang w:val="es-ES"/>
        </w:rPr>
        <w:t xml:space="preserve">“Doctrina luterană (…)”, </w:t>
      </w:r>
      <w:r w:rsidRPr="00834141">
        <w:rPr>
          <w:i/>
          <w:sz w:val="20"/>
          <w:lang w:val="de-DE"/>
        </w:rPr>
        <w:t>op.cit</w:t>
      </w:r>
      <w:r w:rsidRPr="00834141">
        <w:rPr>
          <w:sz w:val="20"/>
          <w:lang w:val="de-DE"/>
        </w:rPr>
        <w:t xml:space="preserve">.,p.495    </w:t>
      </w:r>
    </w:p>
  </w:footnote>
  <w:footnote w:id="54">
    <w:p w:rsidR="00572744" w:rsidRPr="00834141" w:rsidRDefault="00572744" w:rsidP="00572744">
      <w:pPr>
        <w:pStyle w:val="FootnoteText"/>
        <w:ind w:left="-1350" w:right="-990"/>
        <w:jc w:val="both"/>
        <w:rPr>
          <w:sz w:val="20"/>
          <w:lang w:val="de-DE"/>
        </w:rPr>
      </w:pPr>
      <w:r w:rsidRPr="00834141">
        <w:rPr>
          <w:rStyle w:val="FootnoteReference"/>
          <w:sz w:val="20"/>
        </w:rPr>
        <w:footnoteRef/>
      </w:r>
      <w:r w:rsidRPr="00834141">
        <w:rPr>
          <w:sz w:val="20"/>
          <w:lang w:val="de-DE"/>
        </w:rPr>
        <w:t xml:space="preserve"> </w:t>
      </w:r>
      <w:r w:rsidRPr="00834141">
        <w:rPr>
          <w:i/>
          <w:sz w:val="20"/>
          <w:lang w:val="de-DE"/>
        </w:rPr>
        <w:t xml:space="preserve">Ibidem, </w:t>
      </w:r>
      <w:r w:rsidRPr="00834141">
        <w:rPr>
          <w:sz w:val="20"/>
          <w:lang w:val="de-DE"/>
        </w:rPr>
        <w:t xml:space="preserve">p.21, „ (…) Luther an der Rechtfertigung als einem Schopfungsvorgang fasthalt und so jede Moglicheit verlegt wird, den Glauben als Leistung des Menschen und damit die Rechtfertigung als Werk des Menschen aufzufassen”, la Pr.Prof.D. Stăniloae, </w:t>
      </w:r>
      <w:r w:rsidRPr="00834141">
        <w:rPr>
          <w:sz w:val="20"/>
          <w:lang w:val="es-ES"/>
        </w:rPr>
        <w:t xml:space="preserve">“Doctrina luterană (…)”, </w:t>
      </w:r>
      <w:r w:rsidRPr="00834141">
        <w:rPr>
          <w:i/>
          <w:sz w:val="20"/>
          <w:lang w:val="de-DE"/>
        </w:rPr>
        <w:t>op. cit</w:t>
      </w:r>
      <w:r w:rsidRPr="00834141">
        <w:rPr>
          <w:sz w:val="20"/>
          <w:lang w:val="de-DE"/>
        </w:rPr>
        <w:t>.,p.496</w:t>
      </w:r>
    </w:p>
  </w:footnote>
  <w:footnote w:id="55">
    <w:p w:rsidR="00572744" w:rsidRPr="00834141" w:rsidRDefault="00572744" w:rsidP="00572744">
      <w:pPr>
        <w:pStyle w:val="FootnoteText"/>
        <w:ind w:left="-1350" w:right="-990"/>
        <w:jc w:val="both"/>
        <w:rPr>
          <w:sz w:val="20"/>
          <w:lang w:val="de-DE"/>
        </w:rPr>
      </w:pPr>
      <w:r w:rsidRPr="00834141">
        <w:rPr>
          <w:rStyle w:val="FootnoteReference"/>
          <w:sz w:val="20"/>
        </w:rPr>
        <w:footnoteRef/>
      </w:r>
      <w:r w:rsidRPr="00834141">
        <w:rPr>
          <w:sz w:val="20"/>
          <w:lang w:val="de-DE"/>
        </w:rPr>
        <w:t xml:space="preserve"> Pr.Prof.D.Stăniloae, </w:t>
      </w:r>
      <w:r w:rsidRPr="00834141">
        <w:rPr>
          <w:sz w:val="20"/>
          <w:lang w:val="es-ES"/>
        </w:rPr>
        <w:t>“Doctrina luterană (…)”,</w:t>
      </w:r>
      <w:r w:rsidRPr="00834141">
        <w:rPr>
          <w:sz w:val="20"/>
          <w:lang w:val="de-DE"/>
        </w:rPr>
        <w:t xml:space="preserve"> </w:t>
      </w:r>
      <w:r w:rsidRPr="00834141">
        <w:rPr>
          <w:i/>
          <w:sz w:val="20"/>
          <w:lang w:val="de-DE"/>
        </w:rPr>
        <w:t>op.cit</w:t>
      </w:r>
      <w:r w:rsidRPr="00834141">
        <w:rPr>
          <w:sz w:val="20"/>
          <w:lang w:val="de-DE"/>
        </w:rPr>
        <w:t>.,p.496</w:t>
      </w:r>
    </w:p>
  </w:footnote>
  <w:footnote w:id="56">
    <w:p w:rsidR="00572744" w:rsidRPr="00834141" w:rsidRDefault="00572744" w:rsidP="00572744">
      <w:pPr>
        <w:pStyle w:val="FootnoteText"/>
        <w:ind w:left="-1350" w:right="-990"/>
        <w:rPr>
          <w:sz w:val="20"/>
          <w:lang w:val="de-DE"/>
        </w:rPr>
      </w:pPr>
      <w:r w:rsidRPr="00834141">
        <w:rPr>
          <w:rStyle w:val="FootnoteReference"/>
          <w:sz w:val="20"/>
        </w:rPr>
        <w:footnoteRef/>
      </w:r>
      <w:r w:rsidRPr="00834141">
        <w:rPr>
          <w:sz w:val="20"/>
        </w:rPr>
        <w:t>Karl Barth,</w:t>
      </w:r>
      <w:r w:rsidRPr="00834141">
        <w:rPr>
          <w:i/>
          <w:sz w:val="20"/>
          <w:lang w:val="de-DE"/>
        </w:rPr>
        <w:t xml:space="preserve"> Die Kirchliche Dogmatik</w:t>
      </w:r>
      <w:r w:rsidRPr="00834141">
        <w:rPr>
          <w:sz w:val="20"/>
          <w:lang w:val="de-DE"/>
        </w:rPr>
        <w:t xml:space="preserve"> IV/1,EVZ-Verlag, 1960,p.709</w:t>
      </w:r>
    </w:p>
  </w:footnote>
  <w:footnote w:id="57">
    <w:p w:rsidR="00572744" w:rsidRPr="00834141" w:rsidRDefault="00572744" w:rsidP="00572744">
      <w:pPr>
        <w:pStyle w:val="FootnoteText"/>
        <w:ind w:left="-1350" w:right="-990"/>
        <w:jc w:val="both"/>
        <w:rPr>
          <w:sz w:val="20"/>
          <w:lang w:val="de-DE"/>
        </w:rPr>
      </w:pPr>
      <w:r w:rsidRPr="00834141">
        <w:rPr>
          <w:rStyle w:val="FootnoteReference"/>
          <w:sz w:val="20"/>
        </w:rPr>
        <w:footnoteRef/>
      </w:r>
      <w:r w:rsidRPr="00834141">
        <w:rPr>
          <w:sz w:val="20"/>
        </w:rPr>
        <w:t>J.Moltmann,</w:t>
      </w:r>
      <w:r w:rsidRPr="00834141">
        <w:rPr>
          <w:sz w:val="20"/>
          <w:lang w:val="de-DE"/>
        </w:rPr>
        <w:t xml:space="preserve"> „Therese von Avila und Martin Luther“</w:t>
      </w:r>
      <w:r w:rsidRPr="00834141">
        <w:rPr>
          <w:i/>
          <w:sz w:val="20"/>
          <w:lang w:val="de-DE"/>
        </w:rPr>
        <w:t>,</w:t>
      </w:r>
      <w:r w:rsidRPr="00834141">
        <w:rPr>
          <w:sz w:val="20"/>
          <w:lang w:val="de-DE"/>
        </w:rPr>
        <w:t>în Stimmen der Zeit, Heft 7,1982, p. 457</w:t>
      </w:r>
    </w:p>
  </w:footnote>
  <w:footnote w:id="58">
    <w:p w:rsidR="00572744" w:rsidRPr="00834141" w:rsidRDefault="00572744" w:rsidP="00572744">
      <w:pPr>
        <w:pStyle w:val="FootnoteText"/>
        <w:ind w:left="-1350" w:right="-990"/>
        <w:jc w:val="both"/>
        <w:rPr>
          <w:sz w:val="20"/>
          <w:lang w:val="de-DE"/>
        </w:rPr>
      </w:pPr>
      <w:r w:rsidRPr="00834141">
        <w:rPr>
          <w:rStyle w:val="FootnoteReference"/>
          <w:sz w:val="20"/>
        </w:rPr>
        <w:footnoteRef/>
      </w:r>
      <w:r w:rsidRPr="00834141">
        <w:rPr>
          <w:sz w:val="20"/>
          <w:lang w:val="de-DE"/>
        </w:rPr>
        <w:t xml:space="preserve"> </w:t>
      </w:r>
      <w:r w:rsidRPr="00834141">
        <w:rPr>
          <w:i/>
          <w:sz w:val="20"/>
          <w:lang w:val="de-DE"/>
        </w:rPr>
        <w:t>Biblos Barsanouphiou kai Ioannou</w:t>
      </w:r>
      <w:r w:rsidRPr="00834141">
        <w:rPr>
          <w:sz w:val="20"/>
          <w:lang w:val="de-DE"/>
        </w:rPr>
        <w:t>,Thessalonique, 1974,Ep.665,p.311</w:t>
      </w:r>
    </w:p>
  </w:footnote>
  <w:footnote w:id="59">
    <w:p w:rsidR="00572744" w:rsidRPr="00834141" w:rsidRDefault="00572744" w:rsidP="00572744">
      <w:pPr>
        <w:pStyle w:val="FootnoteText"/>
        <w:ind w:left="-1350" w:right="-990"/>
        <w:rPr>
          <w:sz w:val="20"/>
          <w:lang w:val="de-DE"/>
        </w:rPr>
      </w:pPr>
      <w:r w:rsidRPr="00834141">
        <w:rPr>
          <w:rStyle w:val="FootnoteReference"/>
          <w:sz w:val="20"/>
        </w:rPr>
        <w:footnoteRef/>
      </w:r>
      <w:r w:rsidRPr="00834141">
        <w:rPr>
          <w:sz w:val="20"/>
          <w:lang w:val="de-DE"/>
        </w:rPr>
        <w:t xml:space="preserve"> Pr.Prof.D Stăniloae, </w:t>
      </w:r>
      <w:r w:rsidRPr="00834141">
        <w:rPr>
          <w:sz w:val="20"/>
          <w:lang w:val="es-ES"/>
        </w:rPr>
        <w:t>“Doctrina luterană (…)”,</w:t>
      </w:r>
      <w:r w:rsidRPr="00834141">
        <w:rPr>
          <w:i/>
          <w:sz w:val="20"/>
          <w:lang w:val="de-DE"/>
        </w:rPr>
        <w:t>op.cit</w:t>
      </w:r>
      <w:r w:rsidRPr="00834141">
        <w:rPr>
          <w:sz w:val="20"/>
          <w:lang w:val="de-DE"/>
        </w:rPr>
        <w:t>.,p.501</w:t>
      </w:r>
    </w:p>
  </w:footnote>
  <w:footnote w:id="60">
    <w:p w:rsidR="00572744" w:rsidRPr="00834141" w:rsidRDefault="00572744" w:rsidP="00572744">
      <w:pPr>
        <w:pStyle w:val="FootnoteText"/>
        <w:ind w:left="-1350" w:right="-990"/>
        <w:jc w:val="both"/>
        <w:rPr>
          <w:sz w:val="20"/>
          <w:lang w:val="de-DE"/>
        </w:rPr>
      </w:pPr>
      <w:r w:rsidRPr="00834141">
        <w:rPr>
          <w:rStyle w:val="FootnoteReference"/>
          <w:sz w:val="20"/>
        </w:rPr>
        <w:footnoteRef/>
      </w:r>
      <w:r w:rsidRPr="00834141">
        <w:rPr>
          <w:sz w:val="20"/>
          <w:lang w:val="de-DE"/>
        </w:rPr>
        <w:t xml:space="preserve"> </w:t>
      </w:r>
      <w:r w:rsidRPr="00834141">
        <w:rPr>
          <w:sz w:val="20"/>
        </w:rPr>
        <w:t>E.Jungel,</w:t>
      </w:r>
      <w:r w:rsidRPr="00834141">
        <w:rPr>
          <w:sz w:val="20"/>
          <w:lang w:val="de-DE"/>
        </w:rPr>
        <w:t xml:space="preserve"> „Gesetz zwischen Adam und Christus“, Zeitschrift fur Theologie und Kirche,60,1963, p.73, la Pr.Prof.D.Stăniloae, </w:t>
      </w:r>
      <w:r w:rsidRPr="00834141">
        <w:rPr>
          <w:sz w:val="20"/>
          <w:lang w:val="es-ES"/>
        </w:rPr>
        <w:t xml:space="preserve">“Doctrina luterană (…)”, </w:t>
      </w:r>
      <w:r w:rsidRPr="00834141">
        <w:rPr>
          <w:i/>
          <w:sz w:val="20"/>
          <w:lang w:val="de-DE"/>
        </w:rPr>
        <w:t>op.cit</w:t>
      </w:r>
      <w:r w:rsidRPr="00834141">
        <w:rPr>
          <w:sz w:val="20"/>
          <w:lang w:val="de-DE"/>
        </w:rPr>
        <w:t>.p.503</w:t>
      </w:r>
    </w:p>
  </w:footnote>
  <w:footnote w:id="61">
    <w:p w:rsidR="00572744" w:rsidRPr="00834141" w:rsidRDefault="00572744" w:rsidP="00572744">
      <w:pPr>
        <w:pStyle w:val="FootnoteText"/>
        <w:ind w:left="-1350" w:right="-990"/>
        <w:jc w:val="both"/>
        <w:rPr>
          <w:sz w:val="20"/>
          <w:lang w:val="de-DE"/>
        </w:rPr>
      </w:pPr>
      <w:r w:rsidRPr="00834141">
        <w:rPr>
          <w:rStyle w:val="FootnoteReference"/>
          <w:sz w:val="20"/>
        </w:rPr>
        <w:footnoteRef/>
      </w:r>
      <w:r w:rsidRPr="00834141">
        <w:rPr>
          <w:sz w:val="20"/>
        </w:rPr>
        <w:t>Jurgen Moltmann, “</w:t>
      </w:r>
      <w:r w:rsidRPr="00834141">
        <w:rPr>
          <w:sz w:val="20"/>
          <w:lang w:val="de-DE"/>
        </w:rPr>
        <w:t xml:space="preserve">Die Gemeinschaft des Heiligen Geistes. Trinitarrische Pneumatologie“, conferinţă ţinută la Congresul de Pnevmatologie de la Roma, 26 martie 1982(mms.), la Pr.Prof.D.Stăniloae, </w:t>
      </w:r>
      <w:r w:rsidRPr="00834141">
        <w:rPr>
          <w:sz w:val="20"/>
          <w:lang w:val="es-ES"/>
        </w:rPr>
        <w:t xml:space="preserve">“Doctrina luterană (…)”, </w:t>
      </w:r>
      <w:r w:rsidRPr="00834141">
        <w:rPr>
          <w:i/>
          <w:sz w:val="20"/>
          <w:lang w:val="de-DE"/>
        </w:rPr>
        <w:t>op.cit</w:t>
      </w:r>
      <w:r w:rsidRPr="00834141">
        <w:rPr>
          <w:sz w:val="20"/>
          <w:lang w:val="de-DE"/>
        </w:rPr>
        <w:t>.  p.503</w:t>
      </w:r>
    </w:p>
  </w:footnote>
  <w:footnote w:id="62">
    <w:p w:rsidR="00572744" w:rsidRPr="00834141" w:rsidRDefault="00572744" w:rsidP="00572744">
      <w:pPr>
        <w:pStyle w:val="FootnoteText"/>
        <w:ind w:left="-1350" w:right="-990"/>
        <w:rPr>
          <w:sz w:val="20"/>
          <w:lang w:val="de-DE"/>
        </w:rPr>
      </w:pPr>
      <w:r w:rsidRPr="00834141">
        <w:rPr>
          <w:rStyle w:val="FootnoteReference"/>
          <w:sz w:val="20"/>
        </w:rPr>
        <w:footnoteRef/>
      </w:r>
      <w:r w:rsidRPr="00834141">
        <w:rPr>
          <w:sz w:val="20"/>
          <w:lang w:val="de-DE"/>
        </w:rPr>
        <w:t xml:space="preserve"> Pr.Prof.D.Stăniloae, </w:t>
      </w:r>
      <w:r w:rsidRPr="00834141">
        <w:rPr>
          <w:sz w:val="20"/>
          <w:lang w:val="es-ES"/>
        </w:rPr>
        <w:t xml:space="preserve">“Doctrina luterană (…)”, </w:t>
      </w:r>
      <w:r w:rsidRPr="00834141">
        <w:rPr>
          <w:i/>
          <w:sz w:val="20"/>
          <w:lang w:val="de-DE"/>
        </w:rPr>
        <w:t>op.cit</w:t>
      </w:r>
      <w:r w:rsidRPr="00834141">
        <w:rPr>
          <w:sz w:val="20"/>
          <w:lang w:val="de-DE"/>
        </w:rPr>
        <w:t>.,p.504</w:t>
      </w:r>
    </w:p>
  </w:footnote>
  <w:footnote w:id="63">
    <w:p w:rsidR="00572744" w:rsidRPr="00834141" w:rsidRDefault="00572744" w:rsidP="00572744">
      <w:pPr>
        <w:pStyle w:val="FootnoteText"/>
        <w:ind w:left="-1350" w:right="-990"/>
        <w:rPr>
          <w:sz w:val="20"/>
          <w:lang w:val="de-DE"/>
        </w:rPr>
      </w:pPr>
      <w:r w:rsidRPr="00834141">
        <w:rPr>
          <w:rStyle w:val="FootnoteReference"/>
          <w:sz w:val="20"/>
        </w:rPr>
        <w:footnoteRef/>
      </w:r>
      <w:r w:rsidRPr="00834141">
        <w:rPr>
          <w:sz w:val="20"/>
          <w:lang w:val="de-DE"/>
        </w:rPr>
        <w:t xml:space="preserve"> </w:t>
      </w:r>
      <w:r w:rsidRPr="00834141">
        <w:rPr>
          <w:i/>
          <w:sz w:val="20"/>
          <w:lang w:val="de-DE"/>
        </w:rPr>
        <w:t>Ibidem,</w:t>
      </w:r>
      <w:r w:rsidRPr="00834141">
        <w:rPr>
          <w:sz w:val="20"/>
          <w:lang w:val="de-DE"/>
        </w:rPr>
        <w:t>p.505</w:t>
      </w:r>
    </w:p>
  </w:footnote>
  <w:footnote w:id="64">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w:t>
      </w:r>
      <w:r w:rsidRPr="00834141">
        <w:rPr>
          <w:i/>
          <w:sz w:val="20"/>
          <w:lang w:val="it-IT"/>
        </w:rPr>
        <w:t xml:space="preserve">Ibidem, </w:t>
      </w:r>
      <w:r w:rsidRPr="00834141">
        <w:rPr>
          <w:sz w:val="20"/>
          <w:lang w:val="it-IT"/>
        </w:rPr>
        <w:t>p.504-506</w:t>
      </w:r>
    </w:p>
  </w:footnote>
  <w:footnote w:id="65">
    <w:p w:rsidR="00572744" w:rsidRPr="00834141" w:rsidRDefault="00572744" w:rsidP="00572744">
      <w:pPr>
        <w:pStyle w:val="FootnoteText"/>
        <w:ind w:left="-1350" w:right="-990"/>
        <w:jc w:val="both"/>
        <w:rPr>
          <w:sz w:val="20"/>
          <w:lang w:val="it-IT"/>
        </w:rPr>
      </w:pPr>
      <w:r w:rsidRPr="00834141">
        <w:rPr>
          <w:rStyle w:val="FootnoteReference"/>
          <w:sz w:val="20"/>
        </w:rPr>
        <w:footnoteRef/>
      </w:r>
      <w:r w:rsidRPr="00834141">
        <w:rPr>
          <w:sz w:val="20"/>
        </w:rPr>
        <w:t>Alexander Schmemann</w:t>
      </w:r>
      <w:r w:rsidRPr="00834141">
        <w:rPr>
          <w:sz w:val="20"/>
          <w:lang w:val="it-IT"/>
        </w:rPr>
        <w:t xml:space="preserve"> </w:t>
      </w:r>
      <w:r w:rsidRPr="00834141">
        <w:rPr>
          <w:i/>
          <w:sz w:val="20"/>
          <w:lang w:val="it-IT"/>
        </w:rPr>
        <w:t>Euharistia,Taina Împărăţiei</w:t>
      </w:r>
      <w:r w:rsidRPr="00834141">
        <w:rPr>
          <w:sz w:val="20"/>
          <w:lang w:val="it-IT"/>
        </w:rPr>
        <w:t>, Ed. Anastasia, f.a., p.74</w:t>
      </w:r>
    </w:p>
  </w:footnote>
  <w:footnote w:id="66">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Pr.Prof.D.Stăniloae, </w:t>
      </w:r>
      <w:r w:rsidRPr="00834141">
        <w:rPr>
          <w:sz w:val="20"/>
          <w:lang w:val="es-ES"/>
        </w:rPr>
        <w:t xml:space="preserve">“Doctrina luterană (…)”, </w:t>
      </w:r>
      <w:r w:rsidRPr="00834141">
        <w:rPr>
          <w:i/>
          <w:sz w:val="20"/>
          <w:lang w:val="it-IT"/>
        </w:rPr>
        <w:t>op.cit</w:t>
      </w:r>
      <w:r w:rsidRPr="00834141">
        <w:rPr>
          <w:sz w:val="20"/>
          <w:lang w:val="it-IT"/>
        </w:rPr>
        <w:t>.p.509</w:t>
      </w:r>
    </w:p>
  </w:footnote>
  <w:footnote w:id="67">
    <w:p w:rsidR="00572744" w:rsidRPr="00834141" w:rsidRDefault="00572744" w:rsidP="00572744">
      <w:pPr>
        <w:pStyle w:val="FootnoteText"/>
        <w:ind w:left="-1350" w:right="-990"/>
        <w:jc w:val="both"/>
        <w:rPr>
          <w:sz w:val="20"/>
          <w:lang w:val="it-IT"/>
        </w:rPr>
      </w:pPr>
      <w:r w:rsidRPr="00834141">
        <w:rPr>
          <w:rStyle w:val="FootnoteReference"/>
          <w:sz w:val="20"/>
        </w:rPr>
        <w:footnoteRef/>
      </w:r>
      <w:r w:rsidRPr="00834141">
        <w:rPr>
          <w:sz w:val="20"/>
          <w:lang w:val="it-IT"/>
        </w:rPr>
        <w:t xml:space="preserve"> Pr.Prof.Dumitru Stăniloae,</w:t>
      </w:r>
      <w:r w:rsidRPr="00834141">
        <w:rPr>
          <w:i/>
          <w:sz w:val="20"/>
          <w:lang w:val="it-IT"/>
        </w:rPr>
        <w:t xml:space="preserve"> </w:t>
      </w:r>
      <w:r w:rsidRPr="00834141">
        <w:rPr>
          <w:sz w:val="20"/>
          <w:lang w:val="it-IT"/>
        </w:rPr>
        <w:t>“Purcederea Duhului Sfânt de la Tatăl şi relaţia lui cu Fiul, ca temei al îndumnezeirii şi înfierii noastre”, conferinţă ţinută la a doua reuniune ecumenică de la Klingenthal, în 26.V.1979, pe tema “Filioque”, Ortodoxia,nr.3-4,1979,p.583-592</w:t>
      </w:r>
    </w:p>
  </w:footnote>
  <w:footnote w:id="68">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J.M.Garrigues</w:t>
      </w:r>
      <w:r w:rsidRPr="00834141">
        <w:rPr>
          <w:i/>
          <w:sz w:val="20"/>
        </w:rPr>
        <w:t xml:space="preserve"> ,These uber das Filioque, </w:t>
      </w:r>
      <w:r w:rsidRPr="00834141">
        <w:rPr>
          <w:sz w:val="20"/>
        </w:rPr>
        <w:t xml:space="preserve">în Internationale kirchliche Zeitschrift, 1895, la Pr.Prof.D.Stăniloae, </w:t>
      </w:r>
      <w:r w:rsidRPr="00834141">
        <w:rPr>
          <w:sz w:val="20"/>
          <w:lang w:val="it-IT"/>
        </w:rPr>
        <w:t>“Purcederea Duhului Sfânt (...)”,</w:t>
      </w:r>
      <w:r w:rsidRPr="00834141">
        <w:rPr>
          <w:sz w:val="20"/>
        </w:rPr>
        <w:t xml:space="preserve"> </w:t>
      </w:r>
      <w:r w:rsidRPr="00834141">
        <w:rPr>
          <w:i/>
          <w:sz w:val="20"/>
        </w:rPr>
        <w:t>op.cit</w:t>
      </w:r>
      <w:r w:rsidRPr="00834141">
        <w:rPr>
          <w:sz w:val="20"/>
        </w:rPr>
        <w:t>., p.583</w:t>
      </w:r>
    </w:p>
  </w:footnote>
  <w:footnote w:id="69">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Pr.Prof.Dumitru Stăniloae, </w:t>
      </w:r>
      <w:r w:rsidRPr="00834141">
        <w:rPr>
          <w:sz w:val="20"/>
          <w:lang w:val="it-IT"/>
        </w:rPr>
        <w:t>“Purcederea Duhului Sfânt (...)”,</w:t>
      </w:r>
      <w:r w:rsidRPr="00834141">
        <w:rPr>
          <w:sz w:val="20"/>
        </w:rPr>
        <w:t xml:space="preserve"> </w:t>
      </w:r>
      <w:r w:rsidRPr="00834141">
        <w:rPr>
          <w:i/>
          <w:sz w:val="20"/>
        </w:rPr>
        <w:t>op.cit</w:t>
      </w:r>
      <w:r w:rsidRPr="00834141">
        <w:rPr>
          <w:sz w:val="20"/>
        </w:rPr>
        <w:t>, p.585,586; a se vedea şi o altă contribuţie foarte importantă: “Studii catolice recente despre Filioque”</w:t>
      </w:r>
      <w:r w:rsidRPr="00834141">
        <w:rPr>
          <w:i/>
          <w:sz w:val="20"/>
        </w:rPr>
        <w:t>,</w:t>
      </w:r>
      <w:r w:rsidRPr="00834141">
        <w:rPr>
          <w:sz w:val="20"/>
        </w:rPr>
        <w:t xml:space="preserve"> Studii Teologice, nr.7-8,1973,p.471-505</w:t>
      </w:r>
    </w:p>
  </w:footnote>
  <w:footnote w:id="70">
    <w:p w:rsidR="00572744" w:rsidRPr="00834141" w:rsidRDefault="00572744" w:rsidP="00572744">
      <w:pPr>
        <w:pStyle w:val="FootnoteText"/>
        <w:ind w:left="-1350" w:right="-990"/>
        <w:rPr>
          <w:sz w:val="20"/>
          <w:lang w:val="fr-FR"/>
        </w:rPr>
      </w:pPr>
      <w:r w:rsidRPr="00834141">
        <w:rPr>
          <w:rStyle w:val="FootnoteReference"/>
          <w:sz w:val="20"/>
        </w:rPr>
        <w:footnoteRef/>
      </w:r>
      <w:r w:rsidRPr="00834141">
        <w:rPr>
          <w:sz w:val="20"/>
          <w:lang w:val="fr-FR"/>
        </w:rPr>
        <w:t xml:space="preserve"> Paris, Aubier, 1944</w:t>
      </w:r>
    </w:p>
  </w:footnote>
  <w:footnote w:id="71">
    <w:p w:rsidR="00572744" w:rsidRPr="00834141" w:rsidRDefault="00572744" w:rsidP="00572744">
      <w:pPr>
        <w:pStyle w:val="FootnoteText"/>
        <w:ind w:left="-1350" w:right="-990"/>
        <w:rPr>
          <w:sz w:val="20"/>
          <w:lang w:val="fr-FR"/>
        </w:rPr>
      </w:pPr>
      <w:r w:rsidRPr="00834141">
        <w:rPr>
          <w:rStyle w:val="FootnoteReference"/>
          <w:sz w:val="20"/>
        </w:rPr>
        <w:footnoteRef/>
      </w:r>
      <w:r w:rsidRPr="00834141">
        <w:rPr>
          <w:sz w:val="20"/>
          <w:lang w:val="fr-FR"/>
        </w:rPr>
        <w:t xml:space="preserve"> London, 1964</w:t>
      </w:r>
    </w:p>
  </w:footnote>
  <w:footnote w:id="72">
    <w:p w:rsidR="00572744" w:rsidRPr="00834141" w:rsidRDefault="00572744" w:rsidP="00572744">
      <w:pPr>
        <w:pStyle w:val="FootnoteText"/>
        <w:ind w:left="-1350" w:right="-990"/>
        <w:rPr>
          <w:sz w:val="20"/>
          <w:lang w:val="fr-FR"/>
        </w:rPr>
      </w:pPr>
      <w:r w:rsidRPr="00834141">
        <w:rPr>
          <w:rStyle w:val="FootnoteReference"/>
          <w:sz w:val="20"/>
        </w:rPr>
        <w:footnoteRef/>
      </w:r>
      <w:r w:rsidRPr="00834141">
        <w:rPr>
          <w:sz w:val="20"/>
          <w:lang w:val="fr-FR"/>
        </w:rPr>
        <w:t xml:space="preserve">  Istina, nr.3,1974</w:t>
      </w:r>
    </w:p>
  </w:footnote>
  <w:footnote w:id="73">
    <w:p w:rsidR="00572744" w:rsidRPr="00834141" w:rsidRDefault="00572744" w:rsidP="00572744">
      <w:pPr>
        <w:pStyle w:val="FootnoteText"/>
        <w:ind w:left="-1350" w:right="-990"/>
        <w:rPr>
          <w:sz w:val="20"/>
          <w:lang w:val="fr-FR"/>
        </w:rPr>
      </w:pPr>
      <w:r w:rsidRPr="00834141">
        <w:rPr>
          <w:rStyle w:val="FootnoteReference"/>
          <w:sz w:val="20"/>
        </w:rPr>
        <w:footnoteRef/>
      </w:r>
      <w:r w:rsidRPr="00834141">
        <w:rPr>
          <w:sz w:val="20"/>
          <w:lang w:val="fr-FR"/>
        </w:rPr>
        <w:t xml:space="preserve"> Revue theologique de Louvain, III, 1973 , pp.409-442</w:t>
      </w:r>
    </w:p>
  </w:footnote>
  <w:footnote w:id="74">
    <w:p w:rsidR="00572744" w:rsidRPr="00834141" w:rsidRDefault="00572744" w:rsidP="00572744">
      <w:pPr>
        <w:pStyle w:val="FootnoteText"/>
        <w:ind w:left="-1350" w:right="-990"/>
        <w:rPr>
          <w:sz w:val="20"/>
          <w:lang w:val="fr-FR"/>
        </w:rPr>
      </w:pPr>
      <w:r w:rsidRPr="00834141">
        <w:rPr>
          <w:rStyle w:val="FootnoteReference"/>
          <w:sz w:val="20"/>
        </w:rPr>
        <w:footnoteRef/>
      </w:r>
      <w:r w:rsidRPr="00834141">
        <w:rPr>
          <w:sz w:val="20"/>
          <w:lang w:val="fr-FR"/>
        </w:rPr>
        <w:t xml:space="preserve"> Filocalia ( F.R.) 7, EIB,1977, p.216,217</w:t>
      </w:r>
    </w:p>
  </w:footnote>
  <w:footnote w:id="75">
    <w:p w:rsidR="00572744" w:rsidRPr="00834141" w:rsidRDefault="00572744" w:rsidP="00572744">
      <w:pPr>
        <w:pStyle w:val="FootnoteText"/>
        <w:ind w:left="-1350" w:right="-990"/>
        <w:jc w:val="both"/>
        <w:rPr>
          <w:sz w:val="20"/>
          <w:lang w:val="fr-FR"/>
        </w:rPr>
      </w:pPr>
      <w:r w:rsidRPr="00834141">
        <w:rPr>
          <w:rStyle w:val="FootnoteReference"/>
          <w:sz w:val="20"/>
        </w:rPr>
        <w:footnoteRef/>
      </w:r>
      <w:r w:rsidRPr="00834141">
        <w:rPr>
          <w:sz w:val="20"/>
        </w:rPr>
        <w:t xml:space="preserve"> “</w:t>
      </w:r>
      <w:r w:rsidRPr="00834141">
        <w:rPr>
          <w:sz w:val="20"/>
          <w:lang w:val="fr-FR"/>
        </w:rPr>
        <w:t>Coordonatele ecumenismului din punct de vedere ortodox</w:t>
      </w:r>
      <w:r w:rsidRPr="00834141">
        <w:rPr>
          <w:sz w:val="20"/>
        </w:rPr>
        <w:t>”</w:t>
      </w:r>
      <w:r w:rsidRPr="00834141">
        <w:rPr>
          <w:i/>
          <w:sz w:val="20"/>
          <w:lang w:val="fr-FR"/>
        </w:rPr>
        <w:t>,</w:t>
      </w:r>
      <w:r w:rsidRPr="00834141">
        <w:rPr>
          <w:sz w:val="20"/>
          <w:lang w:val="fr-FR"/>
        </w:rPr>
        <w:t xml:space="preserve"> Ortodoxia, nr.4, 1967, p.536</w:t>
      </w:r>
    </w:p>
  </w:footnote>
  <w:footnote w:id="76">
    <w:p w:rsidR="00572744" w:rsidRPr="00834141" w:rsidRDefault="00572744" w:rsidP="00572744">
      <w:pPr>
        <w:pStyle w:val="FootnoteText"/>
        <w:ind w:left="-1350" w:right="-990"/>
        <w:rPr>
          <w:sz w:val="20"/>
          <w:lang w:val="fr-FR"/>
        </w:rPr>
      </w:pPr>
      <w:r w:rsidRPr="00834141">
        <w:rPr>
          <w:sz w:val="20"/>
          <w:lang w:val="fr-FR"/>
        </w:rPr>
        <w:t xml:space="preserve">  </w:t>
      </w:r>
      <w:r w:rsidRPr="00834141">
        <w:rPr>
          <w:rStyle w:val="FootnoteReference"/>
          <w:sz w:val="20"/>
        </w:rPr>
        <w:footnoteRef/>
      </w:r>
      <w:r w:rsidRPr="00834141">
        <w:rPr>
          <w:sz w:val="20"/>
          <w:lang w:val="fr-FR"/>
        </w:rPr>
        <w:t xml:space="preserve"> </w:t>
      </w:r>
      <w:r w:rsidRPr="00834141">
        <w:rPr>
          <w:i/>
          <w:sz w:val="20"/>
          <w:lang w:val="fr-FR"/>
        </w:rPr>
        <w:t>Ascetica</w:t>
      </w:r>
      <w:r w:rsidRPr="00834141">
        <w:rPr>
          <w:i/>
          <w:sz w:val="20"/>
          <w:lang w:val="ro-RO"/>
        </w:rPr>
        <w:t xml:space="preserve"> şi mistica ortodoxă,</w:t>
      </w:r>
      <w:r w:rsidRPr="00834141">
        <w:rPr>
          <w:sz w:val="20"/>
          <w:lang w:val="ro-RO"/>
        </w:rPr>
        <w:t>Ed.Deisis,1993, vol.I, p.35</w:t>
      </w:r>
      <w:r w:rsidRPr="00834141">
        <w:rPr>
          <w:i/>
          <w:sz w:val="20"/>
          <w:lang w:val="fr-FR"/>
        </w:rPr>
        <w:t xml:space="preserve"> </w:t>
      </w:r>
    </w:p>
  </w:footnote>
  <w:footnote w:id="77">
    <w:p w:rsidR="00572744" w:rsidRPr="00834141" w:rsidRDefault="00572744" w:rsidP="00572744">
      <w:pPr>
        <w:pStyle w:val="FootnoteText"/>
        <w:ind w:left="-1350" w:right="-990"/>
        <w:rPr>
          <w:sz w:val="20"/>
          <w:lang w:val="fr-FR"/>
        </w:rPr>
      </w:pPr>
      <w:r w:rsidRPr="00834141">
        <w:rPr>
          <w:sz w:val="20"/>
          <w:lang w:val="fr-FR"/>
        </w:rPr>
        <w:t xml:space="preserve">  </w:t>
      </w:r>
      <w:r w:rsidRPr="00834141">
        <w:rPr>
          <w:rStyle w:val="FootnoteReference"/>
          <w:sz w:val="20"/>
        </w:rPr>
        <w:footnoteRef/>
      </w:r>
      <w:r w:rsidRPr="00834141">
        <w:rPr>
          <w:sz w:val="20"/>
          <w:lang w:val="fr-FR"/>
        </w:rPr>
        <w:t xml:space="preserve"> </w:t>
      </w:r>
      <w:r w:rsidRPr="00834141">
        <w:rPr>
          <w:sz w:val="20"/>
        </w:rPr>
        <w:t>“</w:t>
      </w:r>
      <w:r w:rsidRPr="00834141">
        <w:rPr>
          <w:sz w:val="20"/>
          <w:lang w:val="fr-FR"/>
        </w:rPr>
        <w:t>Conciliul II Vatican- Dezbaterile şi hotărârile primei sesiuni</w:t>
      </w:r>
      <w:r w:rsidRPr="00834141">
        <w:rPr>
          <w:sz w:val="20"/>
        </w:rPr>
        <w:t>”</w:t>
      </w:r>
      <w:r w:rsidRPr="00834141">
        <w:rPr>
          <w:sz w:val="20"/>
          <w:lang w:val="fr-FR"/>
        </w:rPr>
        <w:t>, Ortodoxia, nr.1, 1964, p.</w:t>
      </w:r>
    </w:p>
  </w:footnote>
  <w:footnote w:id="78">
    <w:p w:rsidR="00572744" w:rsidRPr="00834141" w:rsidRDefault="00572744" w:rsidP="00572744">
      <w:pPr>
        <w:pStyle w:val="FootnoteText"/>
        <w:ind w:left="-1350" w:right="-990"/>
        <w:rPr>
          <w:sz w:val="20"/>
          <w:lang w:val="fr-FR"/>
        </w:rPr>
      </w:pPr>
      <w:r w:rsidRPr="00834141">
        <w:rPr>
          <w:sz w:val="20"/>
          <w:lang w:val="fr-FR"/>
        </w:rPr>
        <w:t xml:space="preserve">  </w:t>
      </w:r>
      <w:r w:rsidRPr="00834141">
        <w:rPr>
          <w:rStyle w:val="FootnoteReference"/>
          <w:sz w:val="20"/>
        </w:rPr>
        <w:footnoteRef/>
      </w:r>
      <w:r w:rsidRPr="00834141">
        <w:rPr>
          <w:sz w:val="20"/>
          <w:lang w:val="fr-FR"/>
        </w:rPr>
        <w:t xml:space="preserve"> În Ortodoxia, nr.1, 1965, p.5-27</w:t>
      </w:r>
    </w:p>
  </w:footnote>
  <w:footnote w:id="79">
    <w:p w:rsidR="00572744" w:rsidRPr="00834141" w:rsidRDefault="00572744" w:rsidP="00572744">
      <w:pPr>
        <w:pStyle w:val="FootnoteText"/>
        <w:ind w:left="-1350" w:right="-990"/>
        <w:rPr>
          <w:sz w:val="20"/>
          <w:lang w:val="fr-FR"/>
        </w:rPr>
      </w:pPr>
      <w:r w:rsidRPr="00834141">
        <w:rPr>
          <w:sz w:val="20"/>
          <w:lang w:val="fr-FR"/>
        </w:rPr>
        <w:t xml:space="preserve">  </w:t>
      </w:r>
      <w:r w:rsidRPr="00834141">
        <w:rPr>
          <w:rStyle w:val="FootnoteReference"/>
          <w:sz w:val="20"/>
        </w:rPr>
        <w:footnoteRef/>
      </w:r>
      <w:r w:rsidRPr="00834141">
        <w:rPr>
          <w:sz w:val="20"/>
          <w:lang w:val="fr-FR"/>
        </w:rPr>
        <w:t xml:space="preserve"> </w:t>
      </w:r>
      <w:r w:rsidRPr="00834141">
        <w:rPr>
          <w:i/>
          <w:sz w:val="20"/>
          <w:lang w:val="fr-FR"/>
        </w:rPr>
        <w:t>Ibidem</w:t>
      </w:r>
      <w:r w:rsidRPr="00834141">
        <w:rPr>
          <w:sz w:val="20"/>
          <w:lang w:val="fr-FR"/>
        </w:rPr>
        <w:t>, p.5</w:t>
      </w:r>
    </w:p>
  </w:footnote>
  <w:footnote w:id="80">
    <w:p w:rsidR="00572744" w:rsidRPr="00834141" w:rsidRDefault="00572744" w:rsidP="00572744">
      <w:pPr>
        <w:pStyle w:val="FootnoteText"/>
        <w:ind w:left="-1350" w:right="-990"/>
        <w:rPr>
          <w:sz w:val="20"/>
          <w:lang w:val="fr-FR"/>
        </w:rPr>
      </w:pPr>
      <w:r w:rsidRPr="00834141">
        <w:rPr>
          <w:sz w:val="20"/>
          <w:lang w:val="fr-FR"/>
        </w:rPr>
        <w:t xml:space="preserve">  </w:t>
      </w:r>
      <w:r w:rsidRPr="00834141">
        <w:rPr>
          <w:rStyle w:val="FootnoteReference"/>
          <w:sz w:val="20"/>
        </w:rPr>
        <w:footnoteRef/>
      </w:r>
      <w:r w:rsidRPr="00834141">
        <w:rPr>
          <w:sz w:val="20"/>
          <w:lang w:val="fr-FR"/>
        </w:rPr>
        <w:t xml:space="preserve"> Monitorul Oficial, nr.11/1891, p.2939, la Pr.Prof. D.Stăniloae, </w:t>
      </w:r>
      <w:r w:rsidRPr="00834141">
        <w:rPr>
          <w:sz w:val="20"/>
        </w:rPr>
        <w:t xml:space="preserve">„Posibilitatea reconcilierii dogmatice între Biserica Ortodoxă şi Vechile Biserici Orientale”, </w:t>
      </w:r>
      <w:r w:rsidRPr="00834141">
        <w:rPr>
          <w:sz w:val="20"/>
          <w:lang w:val="fr-FR"/>
        </w:rPr>
        <w:t>Ortodoxia, nr.1, 1965, p.5,6</w:t>
      </w:r>
    </w:p>
  </w:footnote>
  <w:footnote w:id="81">
    <w:p w:rsidR="00572744" w:rsidRPr="00834141" w:rsidRDefault="00572744" w:rsidP="00572744">
      <w:pPr>
        <w:pStyle w:val="FootnoteText"/>
        <w:ind w:left="-1350" w:right="-990"/>
        <w:rPr>
          <w:sz w:val="20"/>
          <w:lang w:val="fr-FR"/>
        </w:rPr>
      </w:pPr>
      <w:r w:rsidRPr="00834141">
        <w:rPr>
          <w:sz w:val="20"/>
          <w:lang w:val="fr-FR"/>
        </w:rPr>
        <w:t xml:space="preserve">  </w:t>
      </w:r>
      <w:r w:rsidRPr="00834141">
        <w:rPr>
          <w:rStyle w:val="FootnoteReference"/>
          <w:sz w:val="20"/>
        </w:rPr>
        <w:footnoteRef/>
      </w:r>
      <w:r w:rsidRPr="00834141">
        <w:rPr>
          <w:i/>
          <w:sz w:val="20"/>
          <w:lang w:val="fr-FR"/>
        </w:rPr>
        <w:t>Ibidem</w:t>
      </w:r>
      <w:r w:rsidRPr="00834141">
        <w:rPr>
          <w:sz w:val="20"/>
          <w:lang w:val="fr-FR"/>
        </w:rPr>
        <w:t>, p.6</w:t>
      </w:r>
    </w:p>
  </w:footnote>
  <w:footnote w:id="82">
    <w:p w:rsidR="00572744" w:rsidRPr="00834141" w:rsidRDefault="00572744" w:rsidP="00572744">
      <w:pPr>
        <w:pStyle w:val="FootnoteText"/>
        <w:ind w:left="-1350" w:right="-990"/>
        <w:jc w:val="both"/>
        <w:rPr>
          <w:sz w:val="20"/>
        </w:rPr>
      </w:pPr>
      <w:r w:rsidRPr="00834141">
        <w:rPr>
          <w:sz w:val="20"/>
          <w:lang w:val="fr-FR"/>
        </w:rPr>
        <w:t xml:space="preserve"> </w:t>
      </w:r>
      <w:r w:rsidRPr="00834141">
        <w:rPr>
          <w:rStyle w:val="FootnoteReference"/>
          <w:sz w:val="20"/>
        </w:rPr>
        <w:footnoteRef/>
      </w:r>
      <w:r w:rsidRPr="00834141">
        <w:rPr>
          <w:sz w:val="20"/>
        </w:rPr>
        <w:t xml:space="preserve"> </w:t>
      </w:r>
      <w:r w:rsidRPr="00834141">
        <w:rPr>
          <w:i/>
          <w:sz w:val="20"/>
        </w:rPr>
        <w:t>Ibidem</w:t>
      </w:r>
      <w:r w:rsidRPr="00834141">
        <w:rPr>
          <w:sz w:val="20"/>
        </w:rPr>
        <w:t xml:space="preserve"> , p. 7, citat din: </w:t>
      </w:r>
      <w:r w:rsidRPr="00834141">
        <w:rPr>
          <w:i/>
          <w:sz w:val="20"/>
        </w:rPr>
        <w:t>Unofficial Consultation between Theologians of Eastern Ortodox and Oriental Orthodox Churches</w:t>
      </w:r>
      <w:r w:rsidRPr="00834141">
        <w:rPr>
          <w:sz w:val="20"/>
        </w:rPr>
        <w:t xml:space="preserve">. </w:t>
      </w:r>
      <w:r w:rsidRPr="00834141">
        <w:rPr>
          <w:i/>
          <w:sz w:val="20"/>
        </w:rPr>
        <w:t>Minutes and Papers of the Consultation held at the University of Aarhus</w:t>
      </w:r>
      <w:r w:rsidRPr="00834141">
        <w:rPr>
          <w:sz w:val="20"/>
        </w:rPr>
        <w:t>, Denmark ( 11-15 august,1964), Part. II,p.12</w:t>
      </w:r>
    </w:p>
  </w:footnote>
  <w:footnote w:id="83">
    <w:p w:rsidR="00572744" w:rsidRPr="00834141" w:rsidRDefault="00572744" w:rsidP="00572744">
      <w:pPr>
        <w:pStyle w:val="FootnoteText"/>
        <w:ind w:left="-1350" w:right="-990"/>
        <w:jc w:val="both"/>
        <w:rPr>
          <w:sz w:val="20"/>
        </w:rPr>
      </w:pPr>
      <w:r w:rsidRPr="00834141">
        <w:rPr>
          <w:sz w:val="20"/>
        </w:rPr>
        <w:t xml:space="preserve">  </w:t>
      </w:r>
      <w:r w:rsidRPr="00834141">
        <w:rPr>
          <w:rStyle w:val="FootnoteReference"/>
          <w:sz w:val="20"/>
        </w:rPr>
        <w:footnoteRef/>
      </w:r>
      <w:r w:rsidRPr="00834141">
        <w:rPr>
          <w:sz w:val="20"/>
        </w:rPr>
        <w:t xml:space="preserve"> Pr.Prof.univ.Dr. Ion Bria, </w:t>
      </w:r>
      <w:r w:rsidRPr="00834141">
        <w:rPr>
          <w:i/>
          <w:sz w:val="20"/>
        </w:rPr>
        <w:t>Curs de Teologie Dogmatică şi Ecumenică</w:t>
      </w:r>
      <w:r w:rsidRPr="00834141">
        <w:rPr>
          <w:sz w:val="20"/>
        </w:rPr>
        <w:t xml:space="preserve"> , Ed.Universităţii “Lucian Blaga” Sibiu 1997, p.149; reed., Sibiu, 2009</w:t>
      </w:r>
    </w:p>
  </w:footnote>
  <w:footnote w:id="84">
    <w:p w:rsidR="00572744" w:rsidRPr="00834141" w:rsidRDefault="00572744" w:rsidP="00572744">
      <w:pPr>
        <w:pStyle w:val="FootnoteText"/>
        <w:ind w:left="-1350" w:right="-990"/>
        <w:jc w:val="both"/>
        <w:rPr>
          <w:sz w:val="20"/>
        </w:rPr>
      </w:pPr>
      <w:r w:rsidRPr="00834141">
        <w:rPr>
          <w:sz w:val="20"/>
        </w:rPr>
        <w:t xml:space="preserve">  </w:t>
      </w:r>
      <w:r w:rsidRPr="00834141">
        <w:rPr>
          <w:rStyle w:val="FootnoteReference"/>
          <w:sz w:val="20"/>
        </w:rPr>
        <w:footnoteRef/>
      </w:r>
      <w:r w:rsidRPr="00834141">
        <w:rPr>
          <w:sz w:val="20"/>
        </w:rPr>
        <w:t xml:space="preserve"> </w:t>
      </w:r>
      <w:r w:rsidRPr="00834141">
        <w:rPr>
          <w:i/>
          <w:sz w:val="20"/>
        </w:rPr>
        <w:t>Ibidem</w:t>
      </w:r>
      <w:r w:rsidRPr="00834141">
        <w:rPr>
          <w:sz w:val="20"/>
        </w:rPr>
        <w:t>, p.149-150; pentru alte consideraţii a se vedea: Î.P.S.Dr.Antonie Pămădeală,</w:t>
      </w:r>
      <w:r w:rsidRPr="00834141">
        <w:rPr>
          <w:i/>
          <w:sz w:val="20"/>
        </w:rPr>
        <w:t xml:space="preserve"> </w:t>
      </w:r>
      <w:r w:rsidRPr="00834141">
        <w:rPr>
          <w:sz w:val="20"/>
        </w:rPr>
        <w:t xml:space="preserve">“După 15 secole de separare, Biserica Ortodoxă şi Bisericile Vechi Orientale se unesc”, interviu realizat de Aurel Nae, public. În Vestitorul Ortodoxiei, V(1994), nr.122;Pr.Lect. Ştefan Buchiu, “Vizita oficială în Armenia a P.F.Patriarh Teoctist”, în Vestirorul Ortodoxiei,VIII(1997), nr.171; Pr.Prof.Dr.Nicolae D.Necula, “Este posibilă coliturghisirea între Biserica Ortodoxă şi Bisericile Vechi Orientale?”, în Vestirorul Ortodoxiei X(1998), nr.197 ; </w:t>
      </w:r>
      <w:r w:rsidRPr="00834141">
        <w:rPr>
          <w:i/>
          <w:sz w:val="20"/>
        </w:rPr>
        <w:t>Idem</w:t>
      </w:r>
      <w:r w:rsidRPr="00834141">
        <w:rPr>
          <w:sz w:val="20"/>
        </w:rPr>
        <w:t>, “Biserica Ortodoxă şi Bisericile Vechi Orientale. A doua întâlnire a subcomitetelor liturgic şi pastoral din cadrul Comisiei mixte pentru dialog teologic, Damasc”, 2-6 februarie 1998, în: Vestirorul Ortodoxiei, nr.cit.</w:t>
      </w:r>
    </w:p>
  </w:footnote>
  <w:footnote w:id="85">
    <w:p w:rsidR="00572744" w:rsidRPr="00834141" w:rsidRDefault="00572744" w:rsidP="00572744">
      <w:pPr>
        <w:pStyle w:val="FootnoteText"/>
        <w:ind w:left="-1350" w:right="-990"/>
        <w:jc w:val="both"/>
        <w:rPr>
          <w:sz w:val="20"/>
        </w:rPr>
      </w:pPr>
      <w:r w:rsidRPr="00834141">
        <w:rPr>
          <w:sz w:val="20"/>
        </w:rPr>
        <w:t xml:space="preserve">  </w:t>
      </w:r>
      <w:r w:rsidRPr="00834141">
        <w:rPr>
          <w:rStyle w:val="FootnoteReference"/>
          <w:sz w:val="20"/>
        </w:rPr>
        <w:footnoteRef/>
      </w:r>
      <w:r w:rsidRPr="00834141">
        <w:rPr>
          <w:sz w:val="20"/>
        </w:rPr>
        <w:t xml:space="preserve"> ex.:</w:t>
      </w:r>
      <w:r w:rsidRPr="00834141">
        <w:rPr>
          <w:i/>
          <w:sz w:val="20"/>
        </w:rPr>
        <w:t xml:space="preserve"> </w:t>
      </w:r>
      <w:r w:rsidRPr="00834141">
        <w:rPr>
          <w:sz w:val="20"/>
        </w:rPr>
        <w:t xml:space="preserve">“Tratativele dintre Biserica Ortodoxă Română </w:t>
      </w:r>
      <w:r w:rsidRPr="00834141">
        <w:rPr>
          <w:sz w:val="20"/>
          <w:lang w:val="ro-RO"/>
        </w:rPr>
        <w:t>şi</w:t>
      </w:r>
      <w:r w:rsidRPr="00834141">
        <w:rPr>
          <w:sz w:val="20"/>
        </w:rPr>
        <w:t xml:space="preserve"> Anglicană </w:t>
      </w:r>
      <w:r w:rsidRPr="00834141">
        <w:rPr>
          <w:sz w:val="20"/>
          <w:lang w:val="en-US"/>
        </w:rPr>
        <w:t xml:space="preserve">privite sub raport dogmatic”, Ortodoxia, nr. 2, 1958, p.236-251 </w:t>
      </w:r>
    </w:p>
  </w:footnote>
  <w:footnote w:id="86">
    <w:p w:rsidR="00572744" w:rsidRPr="00834141" w:rsidRDefault="00572744" w:rsidP="00572744">
      <w:pPr>
        <w:pStyle w:val="FootnoteText"/>
        <w:ind w:left="-1350" w:right="-990"/>
        <w:rPr>
          <w:sz w:val="20"/>
        </w:rPr>
      </w:pPr>
      <w:r w:rsidRPr="00834141">
        <w:rPr>
          <w:sz w:val="20"/>
        </w:rPr>
        <w:t xml:space="preserve">  </w:t>
      </w:r>
      <w:r w:rsidRPr="00834141">
        <w:rPr>
          <w:rStyle w:val="FootnoteReference"/>
          <w:sz w:val="20"/>
        </w:rPr>
        <w:footnoteRef/>
      </w:r>
      <w:r w:rsidRPr="00834141">
        <w:rPr>
          <w:sz w:val="20"/>
        </w:rPr>
        <w:t xml:space="preserve"> </w:t>
      </w:r>
      <w:r w:rsidRPr="00834141">
        <w:rPr>
          <w:i/>
          <w:sz w:val="20"/>
        </w:rPr>
        <w:t>Ibidem</w:t>
      </w:r>
      <w:r w:rsidRPr="00834141">
        <w:rPr>
          <w:sz w:val="20"/>
        </w:rPr>
        <w:t>, p.236</w:t>
      </w:r>
    </w:p>
  </w:footnote>
  <w:footnote w:id="87">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Pentru detalii a se vedea: Pr. Prof. Alexandru Moraru, “Biserica Angliei şi ecumenismul. Legăturile ei cu Biserica Ortodoxă Română, teză de doctorat”,</w:t>
      </w:r>
      <w:r w:rsidRPr="00834141">
        <w:rPr>
          <w:i/>
          <w:sz w:val="20"/>
        </w:rPr>
        <w:t xml:space="preserve"> </w:t>
      </w:r>
      <w:r w:rsidRPr="00834141">
        <w:rPr>
          <w:sz w:val="20"/>
        </w:rPr>
        <w:t xml:space="preserve">Ortodoxia, nr. 4, 1985, p.549-634, şi nr.1, 1986, p.8-157 </w:t>
      </w:r>
    </w:p>
  </w:footnote>
  <w:footnote w:id="88">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TDO 2,</w:t>
      </w:r>
      <w:r w:rsidRPr="00834141">
        <w:rPr>
          <w:sz w:val="20"/>
        </w:rPr>
        <w:t xml:space="preserve"> p.267, 268</w:t>
      </w:r>
    </w:p>
  </w:footnote>
  <w:footnote w:id="89">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Sf.Maxim Mărturisitorul, </w:t>
      </w:r>
      <w:r w:rsidRPr="00834141">
        <w:rPr>
          <w:i/>
          <w:sz w:val="20"/>
        </w:rPr>
        <w:t>Răspunsuri către Talasie,</w:t>
      </w:r>
      <w:r w:rsidRPr="00834141">
        <w:rPr>
          <w:sz w:val="20"/>
        </w:rPr>
        <w:t>15, F.R.,3,p.48</w:t>
      </w:r>
    </w:p>
  </w:footnote>
  <w:footnote w:id="90">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v. şi</w:t>
      </w:r>
      <w:r w:rsidRPr="00834141">
        <w:rPr>
          <w:sz w:val="20"/>
          <w:lang w:val="en-US"/>
        </w:rPr>
        <w:t>:</w:t>
      </w:r>
      <w:r w:rsidRPr="00834141">
        <w:rPr>
          <w:sz w:val="20"/>
        </w:rPr>
        <w:t xml:space="preserve"> Pr.Prof.D.Stăniloae, “Câteva trăsături caracteristice ale Ortodoxiei”, Mitropolia Olteniei, nr. 7-8,1970 p. 730-742</w:t>
      </w:r>
    </w:p>
  </w:footnote>
  <w:footnote w:id="91">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Pr.Prof.D.Stăniloae,</w:t>
      </w:r>
      <w:r w:rsidRPr="00834141">
        <w:rPr>
          <w:i/>
          <w:sz w:val="20"/>
        </w:rPr>
        <w:t xml:space="preserve"> TDO 2, </w:t>
      </w:r>
      <w:r w:rsidRPr="00834141">
        <w:rPr>
          <w:sz w:val="20"/>
        </w:rPr>
        <w:t>op.cit.p.267</w:t>
      </w:r>
    </w:p>
  </w:footnote>
  <w:footnote w:id="92">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 xml:space="preserve">Ibidem, </w:t>
      </w:r>
      <w:r w:rsidRPr="00834141">
        <w:rPr>
          <w:sz w:val="20"/>
        </w:rPr>
        <w:t>p.269,270</w:t>
      </w:r>
    </w:p>
  </w:footnote>
  <w:footnote w:id="93">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 xml:space="preserve">Ibidem, </w:t>
      </w:r>
      <w:r w:rsidRPr="00834141">
        <w:rPr>
          <w:sz w:val="20"/>
        </w:rPr>
        <w:t>p.268</w:t>
      </w:r>
    </w:p>
  </w:footnote>
  <w:footnote w:id="94">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În vol.: </w:t>
      </w:r>
      <w:r w:rsidRPr="00834141">
        <w:rPr>
          <w:i/>
          <w:sz w:val="20"/>
        </w:rPr>
        <w:t>Orthodox visions of ecumenism</w:t>
      </w:r>
      <w:r w:rsidRPr="00834141">
        <w:rPr>
          <w:sz w:val="20"/>
        </w:rPr>
        <w:t>-</w:t>
      </w:r>
      <w:r w:rsidRPr="00834141">
        <w:rPr>
          <w:i/>
          <w:sz w:val="20"/>
        </w:rPr>
        <w:t>statements,messages and reports on the ecumenical</w:t>
      </w:r>
      <w:r w:rsidRPr="00834141">
        <w:rPr>
          <w:sz w:val="20"/>
        </w:rPr>
        <w:t xml:space="preserve"> </w:t>
      </w:r>
      <w:r w:rsidRPr="00834141">
        <w:rPr>
          <w:i/>
          <w:sz w:val="20"/>
        </w:rPr>
        <w:t>movement 1902-1992</w:t>
      </w:r>
      <w:r w:rsidRPr="00834141">
        <w:rPr>
          <w:sz w:val="20"/>
        </w:rPr>
        <w:t>,compiled by Gennadios Limouris,WCC Publications,Geneva,1994, p.235-247</w:t>
      </w:r>
    </w:p>
  </w:footnote>
  <w:footnote w:id="95">
    <w:p w:rsidR="00572744" w:rsidRPr="00834141" w:rsidRDefault="00572744" w:rsidP="00572744">
      <w:pPr>
        <w:pStyle w:val="FootnoteText"/>
        <w:ind w:left="-1350" w:right="-990"/>
        <w:rPr>
          <w:sz w:val="20"/>
        </w:rPr>
      </w:pPr>
      <w:r w:rsidRPr="00834141">
        <w:rPr>
          <w:rStyle w:val="FootnoteReference"/>
          <w:sz w:val="20"/>
        </w:rPr>
        <w:footnoteRef/>
      </w:r>
      <w:r w:rsidRPr="00834141">
        <w:rPr>
          <w:i/>
          <w:sz w:val="20"/>
        </w:rPr>
        <w:t xml:space="preserve">Ibidem </w:t>
      </w:r>
      <w:r w:rsidRPr="00834141">
        <w:rPr>
          <w:sz w:val="20"/>
        </w:rPr>
        <w:t>p.236</w:t>
      </w:r>
    </w:p>
  </w:footnote>
  <w:footnote w:id="96">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v.:  Ion Bria, </w:t>
      </w:r>
      <w:r w:rsidRPr="00834141">
        <w:rPr>
          <w:i/>
          <w:sz w:val="20"/>
        </w:rPr>
        <w:t>The Sense of Ecumenical Tradition,</w:t>
      </w:r>
      <w:r w:rsidRPr="00834141">
        <w:rPr>
          <w:sz w:val="20"/>
        </w:rPr>
        <w:t xml:space="preserve"> Geneva: WCC Publications, 1991, p.60-73  </w:t>
      </w:r>
    </w:p>
  </w:footnote>
  <w:footnote w:id="97">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A.Keshishian, op. cit., p.236-238</w:t>
      </w:r>
    </w:p>
  </w:footnote>
  <w:footnote w:id="98">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A se vedea şi: Pr.Prof. Ion Bria, “Ecclesiologia comuniunii”,</w:t>
      </w:r>
      <w:r w:rsidRPr="00834141">
        <w:rPr>
          <w:i/>
          <w:sz w:val="20"/>
        </w:rPr>
        <w:t xml:space="preserve"> </w:t>
      </w:r>
      <w:r w:rsidRPr="00834141">
        <w:rPr>
          <w:sz w:val="20"/>
        </w:rPr>
        <w:t xml:space="preserve">Studii Teologice, 9-10,1968, p.669-681; de asemenea, J.-M.R.Tillard,  </w:t>
      </w:r>
      <w:r w:rsidRPr="00834141">
        <w:rPr>
          <w:i/>
          <w:sz w:val="20"/>
        </w:rPr>
        <w:t>Eglise d’Eglises - L’ecclesiologie de communion</w:t>
      </w:r>
      <w:r w:rsidRPr="00834141">
        <w:rPr>
          <w:sz w:val="20"/>
        </w:rPr>
        <w:t xml:space="preserve">, Ed. Du Cerf, Paris, 1987; </w:t>
      </w:r>
      <w:r w:rsidRPr="00834141">
        <w:rPr>
          <w:i/>
          <w:sz w:val="20"/>
        </w:rPr>
        <w:t>Idem</w:t>
      </w:r>
      <w:r w:rsidRPr="00834141">
        <w:rPr>
          <w:sz w:val="20"/>
        </w:rPr>
        <w:t xml:space="preserve">, </w:t>
      </w:r>
      <w:r w:rsidRPr="00834141">
        <w:rPr>
          <w:i/>
          <w:sz w:val="20"/>
        </w:rPr>
        <w:t xml:space="preserve">Chair de l’Eglise, Chair du Christ- Aux sources de l’ecclesiologie de communion, </w:t>
      </w:r>
      <w:r w:rsidRPr="00834141">
        <w:rPr>
          <w:sz w:val="20"/>
        </w:rPr>
        <w:t xml:space="preserve">Ed.du Cerf, Paris,1992; </w:t>
      </w:r>
      <w:r w:rsidRPr="00834141">
        <w:rPr>
          <w:i/>
          <w:sz w:val="20"/>
        </w:rPr>
        <w:t>Idem</w:t>
      </w:r>
      <w:r w:rsidRPr="00834141">
        <w:rPr>
          <w:sz w:val="20"/>
        </w:rPr>
        <w:t xml:space="preserve">, </w:t>
      </w:r>
      <w:r w:rsidRPr="00834141">
        <w:rPr>
          <w:i/>
          <w:sz w:val="20"/>
        </w:rPr>
        <w:t>L’Eglise locale- ecclesiologie de communion et catholicite,</w:t>
      </w:r>
      <w:r w:rsidRPr="00834141">
        <w:rPr>
          <w:sz w:val="20"/>
        </w:rPr>
        <w:t xml:space="preserve"> Ed.du Cerf, Paris, 1995</w:t>
      </w:r>
      <w:r w:rsidRPr="00834141">
        <w:rPr>
          <w:i/>
          <w:sz w:val="20"/>
        </w:rPr>
        <w:t>,</w:t>
      </w:r>
      <w:r w:rsidRPr="00834141">
        <w:rPr>
          <w:sz w:val="20"/>
        </w:rPr>
        <w:t>teolog dominican, cu foarte rodnică activitate în Cossiliul Ecumenic al Bisericilor, apropiat, datorită studiului asiduu, înţelegerii ortodoxe a problematicii abordate</w:t>
      </w:r>
    </w:p>
  </w:footnote>
  <w:footnote w:id="99">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w:t>
      </w:r>
      <w:r w:rsidRPr="00834141">
        <w:rPr>
          <w:i/>
          <w:sz w:val="20"/>
        </w:rPr>
        <w:t xml:space="preserve">Signs of the Spirit, official report of WCC seventh assembly, </w:t>
      </w:r>
      <w:r w:rsidRPr="00834141">
        <w:rPr>
          <w:sz w:val="20"/>
        </w:rPr>
        <w:t xml:space="preserve">Canberra, ed. M. Kinnamon, Geneva, WCC, and Grand Rapids, USA, Eerdmans,1991, p.173, la A.Keshishian, </w:t>
      </w:r>
      <w:r w:rsidRPr="00834141">
        <w:rPr>
          <w:i/>
          <w:sz w:val="20"/>
        </w:rPr>
        <w:t>op.cit</w:t>
      </w:r>
      <w:r w:rsidRPr="00834141">
        <w:rPr>
          <w:sz w:val="20"/>
        </w:rPr>
        <w:t>.p.238</w:t>
      </w:r>
    </w:p>
  </w:footnote>
  <w:footnote w:id="100">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 xml:space="preserve">Ibidem, </w:t>
      </w:r>
      <w:r w:rsidRPr="00834141">
        <w:rPr>
          <w:sz w:val="20"/>
        </w:rPr>
        <w:t>p.173</w:t>
      </w:r>
    </w:p>
  </w:footnote>
  <w:footnote w:id="101">
    <w:p w:rsidR="00572744" w:rsidRPr="00834141" w:rsidRDefault="00572744" w:rsidP="00572744">
      <w:pPr>
        <w:pStyle w:val="FootnoteText"/>
        <w:ind w:left="-1350" w:right="-990"/>
        <w:rPr>
          <w:sz w:val="20"/>
          <w:lang w:val="ro-RO"/>
        </w:rPr>
      </w:pPr>
      <w:r w:rsidRPr="00834141">
        <w:rPr>
          <w:rStyle w:val="FootnoteReference"/>
          <w:sz w:val="20"/>
        </w:rPr>
        <w:footnoteRef/>
      </w:r>
      <w:r w:rsidRPr="00834141">
        <w:rPr>
          <w:sz w:val="20"/>
        </w:rPr>
        <w:t xml:space="preserve"> </w:t>
      </w:r>
      <w:r w:rsidRPr="00834141">
        <w:rPr>
          <w:sz w:val="20"/>
          <w:lang w:val="ro-RO"/>
        </w:rPr>
        <w:t>A se vedea art. n.</w:t>
      </w:r>
      <w:r w:rsidRPr="00834141">
        <w:rPr>
          <w:sz w:val="20"/>
        </w:rPr>
        <w:t xml:space="preserve">: "Partasi ai dumnezeiestii firi - theias koinonoi physeos, divinae naturae consortes (II Pt. 1, 4) - o introducere ", </w:t>
      </w:r>
      <w:r w:rsidRPr="00834141">
        <w:rPr>
          <w:iCs/>
          <w:sz w:val="20"/>
        </w:rPr>
        <w:t>Revista Teologica</w:t>
      </w:r>
      <w:r w:rsidRPr="00834141">
        <w:rPr>
          <w:sz w:val="20"/>
        </w:rPr>
        <w:t>, nr.4/2006</w:t>
      </w:r>
    </w:p>
  </w:footnote>
  <w:footnote w:id="102">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A. Keshishian, </w:t>
      </w:r>
      <w:r w:rsidRPr="00834141">
        <w:rPr>
          <w:i/>
          <w:sz w:val="20"/>
        </w:rPr>
        <w:t>op.cit</w:t>
      </w:r>
      <w:r w:rsidRPr="00834141">
        <w:rPr>
          <w:sz w:val="20"/>
        </w:rPr>
        <w:t>.,p.238</w:t>
      </w:r>
    </w:p>
  </w:footnote>
  <w:footnote w:id="103">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 xml:space="preserve">Nostalgia Ortodoxiei, </w:t>
      </w:r>
      <w:r w:rsidRPr="00834141">
        <w:rPr>
          <w:sz w:val="20"/>
        </w:rPr>
        <w:t>Ed.Anastasia,1995, p.117</w:t>
      </w:r>
    </w:p>
  </w:footnote>
  <w:footnote w:id="104">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Sf.Chiril al Alexandriei, </w:t>
      </w:r>
      <w:r w:rsidRPr="00834141">
        <w:rPr>
          <w:i/>
          <w:sz w:val="20"/>
        </w:rPr>
        <w:t>In Jn.</w:t>
      </w:r>
      <w:r w:rsidRPr="00834141">
        <w:rPr>
          <w:sz w:val="20"/>
        </w:rPr>
        <w:t>,11,11, în P.G.74,560A-561B</w:t>
      </w:r>
    </w:p>
  </w:footnote>
  <w:footnote w:id="105">
    <w:p w:rsidR="00572744" w:rsidRPr="00834141" w:rsidRDefault="00572744" w:rsidP="00572744">
      <w:pPr>
        <w:pStyle w:val="FootnoteText"/>
        <w:ind w:left="-1350" w:right="-990"/>
        <w:rPr>
          <w:sz w:val="20"/>
          <w:lang w:val="fr-FR"/>
        </w:rPr>
      </w:pPr>
      <w:r w:rsidRPr="00834141">
        <w:rPr>
          <w:rStyle w:val="FootnoteReference"/>
          <w:sz w:val="20"/>
        </w:rPr>
        <w:footnoteRef/>
      </w:r>
      <w:r w:rsidRPr="00834141">
        <w:rPr>
          <w:sz w:val="20"/>
          <w:lang w:val="fr-FR"/>
        </w:rPr>
        <w:t xml:space="preserve"> Placide Deseille, </w:t>
      </w:r>
      <w:r w:rsidRPr="00834141">
        <w:rPr>
          <w:i/>
          <w:sz w:val="20"/>
          <w:lang w:val="fr-FR"/>
        </w:rPr>
        <w:t>op.cit</w:t>
      </w:r>
      <w:r w:rsidRPr="00834141">
        <w:rPr>
          <w:sz w:val="20"/>
          <w:lang w:val="fr-FR"/>
        </w:rPr>
        <w:t>., p.127, 129</w:t>
      </w:r>
    </w:p>
  </w:footnote>
  <w:footnote w:id="106">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Gennadios Limouris, </w:t>
      </w:r>
      <w:r w:rsidRPr="00834141">
        <w:rPr>
          <w:i/>
          <w:sz w:val="20"/>
        </w:rPr>
        <w:t xml:space="preserve"> </w:t>
      </w:r>
      <w:r w:rsidRPr="00834141">
        <w:rPr>
          <w:sz w:val="20"/>
        </w:rPr>
        <w:t>“The Eucharist as the Sacrament of Sharing: An Orthodox Point of View”, în: Orthodox Visions of Ecumenism, p. cit., p.249</w:t>
      </w:r>
    </w:p>
  </w:footnote>
  <w:footnote w:id="107">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A.Keshishian,</w:t>
      </w:r>
      <w:r w:rsidRPr="00834141">
        <w:rPr>
          <w:i/>
          <w:sz w:val="20"/>
        </w:rPr>
        <w:t>op.cit</w:t>
      </w:r>
      <w:r w:rsidRPr="00834141">
        <w:rPr>
          <w:sz w:val="20"/>
        </w:rPr>
        <w:t>.p.239</w:t>
      </w:r>
    </w:p>
  </w:footnote>
  <w:footnote w:id="108">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Robert G. Stephanopoulos, “Eucharistic Hospitality: Implications for the Ecumenical Movement”, în </w:t>
      </w:r>
      <w:r w:rsidRPr="00834141">
        <w:rPr>
          <w:i/>
          <w:sz w:val="20"/>
        </w:rPr>
        <w:t>Orthodox Visions of Ecumenism</w:t>
      </w:r>
      <w:r w:rsidRPr="00834141">
        <w:rPr>
          <w:sz w:val="20"/>
        </w:rPr>
        <w:t>,</w:t>
      </w:r>
      <w:r w:rsidRPr="00834141">
        <w:rPr>
          <w:i/>
          <w:sz w:val="20"/>
        </w:rPr>
        <w:t xml:space="preserve"> op.cit.</w:t>
      </w:r>
      <w:r w:rsidRPr="00834141">
        <w:rPr>
          <w:sz w:val="20"/>
        </w:rPr>
        <w:t>, p.263</w:t>
      </w:r>
    </w:p>
  </w:footnote>
  <w:footnote w:id="109">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Paulos Mar Gregorios,</w:t>
      </w:r>
      <w:r w:rsidRPr="00834141">
        <w:rPr>
          <w:i/>
          <w:sz w:val="20"/>
        </w:rPr>
        <w:t xml:space="preserve"> </w:t>
      </w:r>
      <w:r w:rsidRPr="00834141">
        <w:rPr>
          <w:sz w:val="20"/>
        </w:rPr>
        <w:t xml:space="preserve">“Eucharistic Hospitality : Not a Question of Hospitality”, în </w:t>
      </w:r>
      <w:r w:rsidRPr="00834141">
        <w:rPr>
          <w:i/>
          <w:sz w:val="20"/>
        </w:rPr>
        <w:t>Orthodox Visions of Ecumenism, op. cit.</w:t>
      </w:r>
      <w:r w:rsidRPr="00834141">
        <w:rPr>
          <w:sz w:val="20"/>
        </w:rPr>
        <w:t>, p. 231</w:t>
      </w:r>
    </w:p>
  </w:footnote>
  <w:footnote w:id="110">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Ibidem</w:t>
      </w:r>
    </w:p>
  </w:footnote>
  <w:footnote w:id="111">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Ed. Inst.Biblic, 1968, p.64-80</w:t>
      </w:r>
    </w:p>
  </w:footnote>
  <w:footnote w:id="112">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 xml:space="preserve">Ibidem </w:t>
      </w:r>
      <w:r w:rsidRPr="00834141">
        <w:rPr>
          <w:sz w:val="20"/>
        </w:rPr>
        <w:t xml:space="preserve">p.66-67, cf. Ion Bria, </w:t>
      </w:r>
      <w:r w:rsidRPr="00834141">
        <w:rPr>
          <w:i/>
          <w:sz w:val="20"/>
        </w:rPr>
        <w:t>The Liturgy after the Liturgy, Geneva</w:t>
      </w:r>
      <w:r w:rsidRPr="00834141">
        <w:rPr>
          <w:sz w:val="20"/>
        </w:rPr>
        <w:t>, WCC Publications, 1996, p.28-30</w:t>
      </w:r>
    </w:p>
  </w:footnote>
  <w:footnote w:id="113">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“În problema intercomuniunii”</w:t>
      </w:r>
      <w:r w:rsidRPr="00834141">
        <w:rPr>
          <w:i/>
          <w:sz w:val="20"/>
        </w:rPr>
        <w:t>,</w:t>
      </w:r>
      <w:r w:rsidRPr="00834141">
        <w:rPr>
          <w:sz w:val="20"/>
        </w:rPr>
        <w:t xml:space="preserve"> Ortodoxia, nr.4, 1971, p.561-584</w:t>
      </w:r>
    </w:p>
  </w:footnote>
  <w:footnote w:id="114">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w:t>
      </w:r>
      <w:r w:rsidRPr="00834141">
        <w:rPr>
          <w:i/>
          <w:sz w:val="20"/>
        </w:rPr>
        <w:t>Ibidem</w:t>
      </w:r>
      <w:r w:rsidRPr="00834141">
        <w:rPr>
          <w:sz w:val="20"/>
        </w:rPr>
        <w:t>, p. 561</w:t>
      </w:r>
    </w:p>
  </w:footnote>
  <w:footnote w:id="115">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Redăm câteva din titlurile lucrărilor care expun această teorie: “La doctrine de la primaute a la lumiere de l’Ecclesiologie”,</w:t>
      </w:r>
      <w:r w:rsidRPr="00834141">
        <w:rPr>
          <w:i/>
          <w:sz w:val="20"/>
        </w:rPr>
        <w:t xml:space="preserve"> </w:t>
      </w:r>
      <w:r w:rsidRPr="00834141">
        <w:rPr>
          <w:sz w:val="20"/>
        </w:rPr>
        <w:t>Istina, nr.4, 1957, p. 401-402; “Le concile dans la theologie orthodoxe ruse”,</w:t>
      </w:r>
      <w:r w:rsidRPr="00834141">
        <w:rPr>
          <w:i/>
          <w:sz w:val="20"/>
        </w:rPr>
        <w:t xml:space="preserve"> </w:t>
      </w:r>
      <w:r w:rsidRPr="00834141">
        <w:rPr>
          <w:sz w:val="20"/>
        </w:rPr>
        <w:t xml:space="preserve">Irenikon, nr.35, 1962, p.316-339; “L’infailibilite de l’Eglise, du point de vue d’un theologien orthodoxe”, vol.col.: </w:t>
      </w:r>
      <w:r w:rsidRPr="00834141">
        <w:rPr>
          <w:i/>
          <w:sz w:val="20"/>
        </w:rPr>
        <w:t>L’infailibilite de l’Eglise,</w:t>
      </w:r>
      <w:r w:rsidRPr="00834141">
        <w:rPr>
          <w:sz w:val="20"/>
        </w:rPr>
        <w:t xml:space="preserve"> Chevetogne, 1961, p.183-201; “L’Eglise qui preside dans l’Amour”</w:t>
      </w:r>
      <w:r w:rsidRPr="00834141">
        <w:rPr>
          <w:i/>
          <w:sz w:val="20"/>
        </w:rPr>
        <w:t>,</w:t>
      </w:r>
      <w:r w:rsidRPr="00834141">
        <w:rPr>
          <w:sz w:val="20"/>
        </w:rPr>
        <w:t xml:space="preserve"> vol.col.: </w:t>
      </w:r>
      <w:r w:rsidRPr="00834141">
        <w:rPr>
          <w:i/>
          <w:sz w:val="20"/>
        </w:rPr>
        <w:t>La primaute de Pierre dans l’Eglise Orthodoxe,</w:t>
      </w:r>
      <w:r w:rsidRPr="00834141">
        <w:rPr>
          <w:sz w:val="20"/>
        </w:rPr>
        <w:t xml:space="preserve"> Neuchâtel,1960; “Una Sancta”, Irenikon,nr.4,1964, menţionate de Pr.Prof.D.Stăniloae în:</w:t>
      </w:r>
      <w:r w:rsidRPr="00834141">
        <w:rPr>
          <w:i/>
          <w:sz w:val="20"/>
        </w:rPr>
        <w:t xml:space="preserve"> </w:t>
      </w:r>
      <w:r w:rsidRPr="00834141">
        <w:rPr>
          <w:sz w:val="20"/>
        </w:rPr>
        <w:t>“Biserica universală şi sobornicească”,Ortodoxia, nr.2, 1966, p.167-198</w:t>
      </w:r>
      <w:r w:rsidRPr="00834141">
        <w:rPr>
          <w:i/>
          <w:sz w:val="20"/>
        </w:rPr>
        <w:t xml:space="preserve"> </w:t>
      </w:r>
    </w:p>
  </w:footnote>
  <w:footnote w:id="116">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Pr.Prof.D.Stăniloae, op.cit., p.167-168</w:t>
      </w:r>
    </w:p>
  </w:footnote>
  <w:footnote w:id="117">
    <w:p w:rsidR="00572744" w:rsidRPr="00834141" w:rsidRDefault="00572744" w:rsidP="00572744">
      <w:pPr>
        <w:pStyle w:val="FootnoteText"/>
        <w:ind w:left="-1350" w:right="-990"/>
        <w:rPr>
          <w:sz w:val="20"/>
        </w:rPr>
      </w:pPr>
      <w:r w:rsidRPr="00834141">
        <w:rPr>
          <w:sz w:val="20"/>
        </w:rPr>
        <w:t xml:space="preserve"> </w:t>
      </w:r>
      <w:r w:rsidRPr="00834141">
        <w:rPr>
          <w:rStyle w:val="FootnoteReference"/>
          <w:sz w:val="20"/>
        </w:rPr>
        <w:footnoteRef/>
      </w:r>
      <w:r w:rsidRPr="00834141">
        <w:rPr>
          <w:sz w:val="20"/>
        </w:rPr>
        <w:t>Ierom.drd.M.Filimon,</w:t>
      </w:r>
      <w:r w:rsidRPr="00834141">
        <w:rPr>
          <w:i/>
          <w:iCs/>
          <w:sz w:val="20"/>
        </w:rPr>
        <w:t xml:space="preserve"> </w:t>
      </w:r>
      <w:r w:rsidRPr="00834141">
        <w:rPr>
          <w:iCs/>
          <w:sz w:val="20"/>
        </w:rPr>
        <w:t>“</w:t>
      </w:r>
      <w:r w:rsidRPr="00834141">
        <w:rPr>
          <w:bCs/>
          <w:sz w:val="20"/>
        </w:rPr>
        <w:t>Catolicitatea Bisericii şi implicaţiile acesteia în concepţia teologului Vladimir Lossky”</w:t>
      </w:r>
      <w:r w:rsidRPr="00834141">
        <w:rPr>
          <w:sz w:val="20"/>
        </w:rPr>
        <w:t xml:space="preserve">, Revista Teologică, nr. 1, 1995, p.42 </w:t>
      </w:r>
    </w:p>
  </w:footnote>
  <w:footnote w:id="118">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Pr.Prof.D.Stăniloae:</w:t>
      </w:r>
      <w:r w:rsidRPr="00834141">
        <w:rPr>
          <w:i/>
          <w:sz w:val="20"/>
        </w:rPr>
        <w:t xml:space="preserve"> </w:t>
      </w:r>
      <w:r w:rsidRPr="00834141">
        <w:rPr>
          <w:sz w:val="20"/>
        </w:rPr>
        <w:t xml:space="preserve">“Biserica universală şi sobornicească”, </w:t>
      </w:r>
      <w:r w:rsidRPr="00834141">
        <w:rPr>
          <w:i/>
          <w:sz w:val="20"/>
        </w:rPr>
        <w:t>op.cit.</w:t>
      </w:r>
      <w:r w:rsidRPr="00834141">
        <w:rPr>
          <w:sz w:val="20"/>
        </w:rPr>
        <w:t>,</w:t>
      </w:r>
      <w:r w:rsidRPr="00834141">
        <w:rPr>
          <w:i/>
          <w:sz w:val="20"/>
        </w:rPr>
        <w:t xml:space="preserve"> </w:t>
      </w:r>
      <w:r w:rsidRPr="00834141">
        <w:rPr>
          <w:sz w:val="20"/>
        </w:rPr>
        <w:t>p.174</w:t>
      </w:r>
    </w:p>
  </w:footnote>
  <w:footnote w:id="119">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Pr.Prof.D.Stăniloae, </w:t>
      </w:r>
      <w:r w:rsidRPr="00834141">
        <w:rPr>
          <w:i/>
          <w:sz w:val="20"/>
        </w:rPr>
        <w:t>Spiritualitate şi comuniune în Liturghia ortodoxă,</w:t>
      </w:r>
      <w:r w:rsidRPr="00834141">
        <w:rPr>
          <w:sz w:val="20"/>
        </w:rPr>
        <w:t xml:space="preserve"> Ed.Mitropoliei Olteniei, Craiova, 1986, p.398</w:t>
      </w:r>
    </w:p>
  </w:footnote>
  <w:footnote w:id="120">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i/>
          <w:sz w:val="20"/>
          <w:lang w:val="it-IT"/>
        </w:rPr>
        <w:t>Idem</w:t>
      </w:r>
      <w:r w:rsidRPr="00834141">
        <w:rPr>
          <w:sz w:val="20"/>
          <w:lang w:val="it-IT"/>
        </w:rPr>
        <w:t>, “Biserica universală (…)”</w:t>
      </w:r>
      <w:r w:rsidRPr="00834141">
        <w:rPr>
          <w:i/>
          <w:sz w:val="20"/>
          <w:lang w:val="it-IT"/>
        </w:rPr>
        <w:t>,op.cit.</w:t>
      </w:r>
      <w:r w:rsidRPr="00834141">
        <w:rPr>
          <w:sz w:val="20"/>
          <w:lang w:val="it-IT"/>
        </w:rPr>
        <w:t>,p.179</w:t>
      </w:r>
    </w:p>
  </w:footnote>
  <w:footnote w:id="121">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în Irenikon, nr.3, 1966, p.392, la Pr.Prof.D.Stăniloae, “</w:t>
      </w:r>
      <w:r w:rsidRPr="00834141">
        <w:rPr>
          <w:i/>
          <w:sz w:val="20"/>
          <w:lang w:val="it-IT"/>
        </w:rPr>
        <w:t xml:space="preserve">Coordonatele </w:t>
      </w:r>
      <w:r w:rsidRPr="00834141">
        <w:rPr>
          <w:sz w:val="20"/>
          <w:lang w:val="it-IT"/>
        </w:rPr>
        <w:t>(</w:t>
      </w:r>
      <w:r w:rsidRPr="00834141">
        <w:rPr>
          <w:i/>
          <w:sz w:val="20"/>
          <w:lang w:val="it-IT"/>
        </w:rPr>
        <w:t>…</w:t>
      </w:r>
      <w:r w:rsidRPr="00834141">
        <w:rPr>
          <w:sz w:val="20"/>
          <w:lang w:val="it-IT"/>
        </w:rPr>
        <w:t>)</w:t>
      </w:r>
      <w:r w:rsidRPr="00834141">
        <w:rPr>
          <w:i/>
          <w:sz w:val="20"/>
          <w:lang w:val="it-IT"/>
        </w:rPr>
        <w:t>,op.cit</w:t>
      </w:r>
      <w:r w:rsidRPr="00834141">
        <w:rPr>
          <w:sz w:val="20"/>
          <w:lang w:val="it-IT"/>
        </w:rPr>
        <w:t>.,p.495</w:t>
      </w:r>
    </w:p>
  </w:footnote>
  <w:footnote w:id="122">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Pr.Prof.D.Stăniloae,</w:t>
      </w:r>
      <w:r w:rsidRPr="00834141">
        <w:rPr>
          <w:i/>
          <w:sz w:val="20"/>
          <w:lang w:val="it-IT"/>
        </w:rPr>
        <w:t>op.cit</w:t>
      </w:r>
      <w:r w:rsidRPr="00834141">
        <w:rPr>
          <w:sz w:val="20"/>
          <w:lang w:val="it-IT"/>
        </w:rPr>
        <w:t>.p.498</w:t>
      </w:r>
    </w:p>
  </w:footnote>
  <w:footnote w:id="123">
    <w:p w:rsidR="00572744" w:rsidRPr="00834141" w:rsidRDefault="00572744" w:rsidP="00572744">
      <w:pPr>
        <w:pStyle w:val="FootnoteText"/>
        <w:ind w:left="-1350" w:right="-990"/>
        <w:jc w:val="both"/>
        <w:rPr>
          <w:sz w:val="20"/>
          <w:lang w:val="it-IT"/>
        </w:rPr>
      </w:pPr>
      <w:r w:rsidRPr="00834141">
        <w:rPr>
          <w:rStyle w:val="FootnoteReference"/>
          <w:sz w:val="20"/>
        </w:rPr>
        <w:footnoteRef/>
      </w:r>
      <w:r w:rsidRPr="00834141">
        <w:rPr>
          <w:sz w:val="20"/>
          <w:lang w:val="it-IT"/>
        </w:rPr>
        <w:t xml:space="preserve"> Fragment din expunerea patriarhului Justinian, în şedinţa Sf.Sinod, 19 octombrie 1967, la Pr.Prof.D.Stăniloae,</w:t>
      </w:r>
      <w:r w:rsidRPr="00834141">
        <w:rPr>
          <w:i/>
          <w:sz w:val="20"/>
          <w:lang w:val="it-IT"/>
        </w:rPr>
        <w:t xml:space="preserve"> op.cit.</w:t>
      </w:r>
      <w:r w:rsidRPr="00834141">
        <w:rPr>
          <w:sz w:val="20"/>
          <w:lang w:val="it-IT"/>
        </w:rPr>
        <w:t>, p.489-499</w:t>
      </w:r>
    </w:p>
  </w:footnote>
  <w:footnote w:id="124">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Pr.Prof.D.Stăniloae,</w:t>
      </w:r>
      <w:r w:rsidRPr="00834141">
        <w:rPr>
          <w:i/>
          <w:sz w:val="20"/>
          <w:lang w:val="it-IT"/>
        </w:rPr>
        <w:t>op.cit</w:t>
      </w:r>
      <w:r w:rsidRPr="00834141">
        <w:rPr>
          <w:sz w:val="20"/>
          <w:lang w:val="it-IT"/>
        </w:rPr>
        <w:t>.,p.500</w:t>
      </w:r>
    </w:p>
  </w:footnote>
  <w:footnote w:id="125">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w:t>
      </w:r>
      <w:r w:rsidRPr="00834141">
        <w:rPr>
          <w:i/>
          <w:sz w:val="20"/>
          <w:lang w:val="it-IT"/>
        </w:rPr>
        <w:t>Ibidem</w:t>
      </w:r>
    </w:p>
  </w:footnote>
  <w:footnote w:id="126">
    <w:p w:rsidR="00572744" w:rsidRPr="00834141" w:rsidRDefault="00572744" w:rsidP="00572744">
      <w:pPr>
        <w:pStyle w:val="FootnoteText"/>
        <w:ind w:left="-1350" w:right="-990"/>
        <w:jc w:val="both"/>
        <w:rPr>
          <w:sz w:val="20"/>
          <w:lang w:val="it-IT"/>
        </w:rPr>
      </w:pPr>
      <w:r w:rsidRPr="00834141">
        <w:rPr>
          <w:rStyle w:val="FootnoteReference"/>
          <w:sz w:val="20"/>
        </w:rPr>
        <w:footnoteRef/>
      </w:r>
      <w:r w:rsidRPr="00834141">
        <w:rPr>
          <w:sz w:val="20"/>
          <w:lang w:val="it-IT"/>
        </w:rPr>
        <w:t xml:space="preserve"> </w:t>
      </w:r>
      <w:r w:rsidRPr="00834141">
        <w:rPr>
          <w:i/>
          <w:sz w:val="20"/>
          <w:lang w:val="it-IT"/>
        </w:rPr>
        <w:t>Idem</w:t>
      </w:r>
      <w:r w:rsidRPr="00834141">
        <w:rPr>
          <w:sz w:val="20"/>
          <w:lang w:val="it-IT"/>
        </w:rPr>
        <w:t>,</w:t>
      </w:r>
      <w:r w:rsidRPr="00834141">
        <w:rPr>
          <w:i/>
          <w:sz w:val="20"/>
          <w:lang w:val="it-IT"/>
        </w:rPr>
        <w:t xml:space="preserve"> </w:t>
      </w:r>
      <w:r w:rsidRPr="00834141">
        <w:rPr>
          <w:sz w:val="20"/>
          <w:lang w:val="it-IT"/>
        </w:rPr>
        <w:t>“Tendinţa Vaticanului după comuniunea euharistică cu ortodocşii”, Ortodoxia, nr.3, 1972, p.493</w:t>
      </w:r>
    </w:p>
  </w:footnote>
  <w:footnote w:id="127">
    <w:p w:rsidR="00572744" w:rsidRPr="00834141" w:rsidRDefault="00572744" w:rsidP="00572744">
      <w:pPr>
        <w:pStyle w:val="FootnoteText"/>
        <w:ind w:left="-1350" w:right="-990"/>
        <w:rPr>
          <w:sz w:val="20"/>
          <w:lang w:val="pt-BR"/>
        </w:rPr>
      </w:pPr>
      <w:r w:rsidRPr="00834141">
        <w:rPr>
          <w:rStyle w:val="FootnoteReference"/>
          <w:sz w:val="20"/>
        </w:rPr>
        <w:footnoteRef/>
      </w:r>
      <w:r w:rsidRPr="00834141">
        <w:rPr>
          <w:i/>
          <w:sz w:val="20"/>
          <w:lang w:val="pt-BR"/>
        </w:rPr>
        <w:t>Idem</w:t>
      </w:r>
      <w:r w:rsidRPr="00834141">
        <w:rPr>
          <w:sz w:val="20"/>
          <w:lang w:val="pt-BR"/>
        </w:rPr>
        <w:t xml:space="preserve">, </w:t>
      </w:r>
      <w:r w:rsidRPr="00834141">
        <w:rPr>
          <w:i/>
          <w:sz w:val="20"/>
          <w:lang w:val="pt-BR"/>
        </w:rPr>
        <w:t>TDO 2</w:t>
      </w:r>
      <w:r w:rsidRPr="00834141">
        <w:rPr>
          <w:sz w:val="20"/>
          <w:lang w:val="pt-BR"/>
        </w:rPr>
        <w:t>, p.208</w:t>
      </w:r>
    </w:p>
  </w:footnote>
  <w:footnote w:id="128">
    <w:p w:rsidR="00572744" w:rsidRPr="00834141" w:rsidRDefault="00572744" w:rsidP="00572744">
      <w:pPr>
        <w:ind w:left="-1350" w:right="-990"/>
        <w:rPr>
          <w:sz w:val="20"/>
          <w:lang w:val="pt-BR"/>
        </w:rPr>
      </w:pPr>
      <w:r w:rsidRPr="00834141">
        <w:rPr>
          <w:rStyle w:val="FootnoteReference"/>
          <w:sz w:val="20"/>
        </w:rPr>
        <w:footnoteRef/>
      </w:r>
      <w:r w:rsidRPr="00834141">
        <w:rPr>
          <w:sz w:val="20"/>
          <w:lang w:val="pt-BR"/>
        </w:rPr>
        <w:t xml:space="preserve"> </w:t>
      </w:r>
      <w:r w:rsidRPr="00834141">
        <w:rPr>
          <w:sz w:val="20"/>
        </w:rPr>
        <w:t>Studii Teologice, nr. 1 – 2, 1970</w:t>
      </w:r>
    </w:p>
  </w:footnote>
  <w:footnote w:id="129">
    <w:p w:rsidR="00572744" w:rsidRPr="00834141" w:rsidRDefault="00572744" w:rsidP="00572744">
      <w:pPr>
        <w:pStyle w:val="FootnoteText"/>
        <w:ind w:left="-1350" w:right="-990"/>
        <w:rPr>
          <w:sz w:val="20"/>
          <w:lang w:val="pt-BR"/>
        </w:rPr>
      </w:pPr>
      <w:r w:rsidRPr="00834141">
        <w:rPr>
          <w:rStyle w:val="FootnoteReference"/>
          <w:sz w:val="20"/>
        </w:rPr>
        <w:footnoteRef/>
      </w:r>
      <w:r w:rsidRPr="00834141">
        <w:rPr>
          <w:sz w:val="20"/>
          <w:lang w:val="pt-BR"/>
        </w:rPr>
        <w:t xml:space="preserve"> </w:t>
      </w:r>
      <w:r w:rsidRPr="00834141">
        <w:rPr>
          <w:i/>
          <w:sz w:val="20"/>
          <w:lang w:val="pt-BR"/>
        </w:rPr>
        <w:t xml:space="preserve">Ibidem </w:t>
      </w:r>
      <w:r w:rsidRPr="00834141">
        <w:rPr>
          <w:sz w:val="20"/>
          <w:lang w:val="pt-BR"/>
        </w:rPr>
        <w:t>,p.29</w:t>
      </w:r>
    </w:p>
  </w:footnote>
  <w:footnote w:id="130">
    <w:p w:rsidR="00572744" w:rsidRPr="00834141" w:rsidRDefault="00572744" w:rsidP="00572744">
      <w:pPr>
        <w:pStyle w:val="FootnoteText"/>
        <w:ind w:left="-1350" w:right="-990"/>
        <w:rPr>
          <w:sz w:val="20"/>
          <w:lang w:val="pt-BR"/>
        </w:rPr>
      </w:pPr>
      <w:r w:rsidRPr="00834141">
        <w:rPr>
          <w:rStyle w:val="FootnoteReference"/>
          <w:sz w:val="20"/>
        </w:rPr>
        <w:footnoteRef/>
      </w:r>
      <w:r w:rsidRPr="00834141">
        <w:rPr>
          <w:sz w:val="20"/>
          <w:lang w:val="pt-BR"/>
        </w:rPr>
        <w:t xml:space="preserve"> </w:t>
      </w:r>
      <w:r w:rsidRPr="00834141">
        <w:rPr>
          <w:i/>
          <w:sz w:val="20"/>
          <w:lang w:val="pt-BR"/>
        </w:rPr>
        <w:t>Ibidem</w:t>
      </w:r>
    </w:p>
  </w:footnote>
  <w:footnote w:id="131">
    <w:p w:rsidR="00572744" w:rsidRPr="00834141" w:rsidRDefault="00572744" w:rsidP="00572744">
      <w:pPr>
        <w:pStyle w:val="FootnoteText"/>
        <w:ind w:left="-1350" w:right="-990"/>
        <w:rPr>
          <w:sz w:val="20"/>
          <w:lang w:val="pt-BR"/>
        </w:rPr>
      </w:pPr>
      <w:r w:rsidRPr="00834141">
        <w:rPr>
          <w:rStyle w:val="FootnoteReference"/>
          <w:sz w:val="20"/>
        </w:rPr>
        <w:footnoteRef/>
      </w:r>
      <w:r w:rsidRPr="00834141">
        <w:rPr>
          <w:sz w:val="20"/>
          <w:lang w:val="pt-BR"/>
        </w:rPr>
        <w:t xml:space="preserve"> </w:t>
      </w:r>
      <w:r w:rsidRPr="00834141">
        <w:rPr>
          <w:i/>
          <w:sz w:val="20"/>
          <w:lang w:val="pt-BR"/>
        </w:rPr>
        <w:t>Idem, “</w:t>
      </w:r>
      <w:r w:rsidRPr="00834141">
        <w:rPr>
          <w:sz w:val="20"/>
          <w:lang w:val="pt-BR"/>
        </w:rPr>
        <w:t>Responsabilitatea creştină”, Ortodoxia, nr.2,1970, p.186</w:t>
      </w:r>
    </w:p>
  </w:footnote>
  <w:footnote w:id="132">
    <w:p w:rsidR="00572744" w:rsidRPr="00834141" w:rsidRDefault="00572744" w:rsidP="00572744">
      <w:pPr>
        <w:pStyle w:val="FootnoteText"/>
        <w:ind w:left="-1350" w:right="-990"/>
        <w:rPr>
          <w:sz w:val="20"/>
          <w:lang w:val="pt-BR"/>
        </w:rPr>
      </w:pPr>
      <w:r w:rsidRPr="00834141">
        <w:rPr>
          <w:rStyle w:val="FootnoteReference"/>
          <w:sz w:val="20"/>
        </w:rPr>
        <w:footnoteRef/>
      </w:r>
      <w:r w:rsidRPr="00834141">
        <w:rPr>
          <w:sz w:val="20"/>
          <w:lang w:val="pt-BR"/>
        </w:rPr>
        <w:t xml:space="preserve"> </w:t>
      </w:r>
      <w:r w:rsidRPr="00834141">
        <w:rPr>
          <w:i/>
          <w:sz w:val="20"/>
          <w:lang w:val="pt-BR"/>
        </w:rPr>
        <w:t>Idem,</w:t>
      </w:r>
      <w:r w:rsidRPr="00834141">
        <w:rPr>
          <w:sz w:val="20"/>
          <w:lang w:val="pt-BR"/>
        </w:rPr>
        <w:t xml:space="preserve"> “Rugăciunile pentru alţii (…)”,</w:t>
      </w:r>
      <w:r w:rsidRPr="00834141">
        <w:rPr>
          <w:i/>
          <w:sz w:val="20"/>
          <w:lang w:val="pt-BR"/>
        </w:rPr>
        <w:t xml:space="preserve"> op.cit.</w:t>
      </w:r>
      <w:r w:rsidRPr="00834141">
        <w:rPr>
          <w:sz w:val="20"/>
          <w:lang w:val="pt-BR"/>
        </w:rPr>
        <w:t>p.30</w:t>
      </w:r>
    </w:p>
  </w:footnote>
  <w:footnote w:id="133">
    <w:p w:rsidR="00572744" w:rsidRPr="00834141" w:rsidRDefault="00572744" w:rsidP="00572744">
      <w:pPr>
        <w:pStyle w:val="FootnoteText"/>
        <w:ind w:left="-1350" w:right="-990"/>
        <w:jc w:val="both"/>
        <w:rPr>
          <w:sz w:val="20"/>
          <w:lang w:val="pt-BR"/>
        </w:rPr>
      </w:pPr>
      <w:r w:rsidRPr="00834141">
        <w:rPr>
          <w:rStyle w:val="FootnoteReference"/>
          <w:sz w:val="20"/>
        </w:rPr>
        <w:footnoteRef/>
      </w:r>
      <w:r w:rsidRPr="00834141">
        <w:rPr>
          <w:sz w:val="20"/>
          <w:lang w:val="pt-BR"/>
        </w:rPr>
        <w:t xml:space="preserve"> Ilustrativ</w:t>
      </w:r>
      <w:r w:rsidRPr="00834141">
        <w:rPr>
          <w:sz w:val="20"/>
          <w:lang w:val="ro-RO"/>
        </w:rPr>
        <w:t>ă în acest sens este comunitatea monastică de la Bose (Italia), o obşte formată din călugări şi călugăriţe</w:t>
      </w:r>
      <w:r w:rsidRPr="00834141">
        <w:rPr>
          <w:i/>
          <w:sz w:val="20"/>
          <w:lang w:val="ro-RO"/>
        </w:rPr>
        <w:t xml:space="preserve"> care nu aparţin aceleiaşi confesiuni</w:t>
      </w:r>
      <w:r w:rsidRPr="00834141">
        <w:rPr>
          <w:sz w:val="20"/>
          <w:lang w:val="ro-RO"/>
        </w:rPr>
        <w:t>, dar care împreună Îl caută pe Dumnezeu în rugăciune, în sărăcie, în feciorie şi în ascultare, a se vedea: Enzo Bianchi,</w:t>
      </w:r>
      <w:r w:rsidRPr="00834141">
        <w:rPr>
          <w:i/>
          <w:sz w:val="20"/>
          <w:lang w:val="ro-RO"/>
        </w:rPr>
        <w:t xml:space="preserve"> Cuvânt şi rugăciune, introducere în lectura duhovnicească a Scripturii, </w:t>
      </w:r>
      <w:r w:rsidRPr="00834141">
        <w:rPr>
          <w:sz w:val="20"/>
          <w:lang w:val="ro-RO"/>
        </w:rPr>
        <w:t xml:space="preserve">cu o prefaţă de Mitropolitul Serafim, Ed.Deisis, Sibiu, 1996 </w:t>
      </w:r>
    </w:p>
  </w:footnote>
  <w:footnote w:id="134">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Lukas Vischer, “A Growing Fellowship of Mutual Intercessio”, </w:t>
      </w:r>
      <w:r w:rsidRPr="00834141">
        <w:rPr>
          <w:i/>
          <w:sz w:val="20"/>
        </w:rPr>
        <w:t>The Ecumenical Movement. An Anthology of Key Texts and Voices,</w:t>
      </w:r>
      <w:r w:rsidRPr="00834141">
        <w:rPr>
          <w:sz w:val="20"/>
        </w:rPr>
        <w:t xml:space="preserve"> ed. by Michael Kinnamon and Brian E.Cope, WCC Publications, Geneva,  1997</w:t>
      </w:r>
      <w:r w:rsidRPr="00834141">
        <w:rPr>
          <w:i/>
          <w:sz w:val="20"/>
        </w:rPr>
        <w:t xml:space="preserve">, </w:t>
      </w:r>
      <w:r w:rsidRPr="00834141">
        <w:rPr>
          <w:sz w:val="20"/>
        </w:rPr>
        <w:t>p.513</w:t>
      </w:r>
    </w:p>
  </w:footnote>
  <w:footnote w:id="135">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w:t>
      </w:r>
      <w:r w:rsidRPr="00834141">
        <w:rPr>
          <w:i/>
          <w:sz w:val="20"/>
          <w:lang w:val="it-IT"/>
        </w:rPr>
        <w:t>Sobornicitatea deschisă,op.cit</w:t>
      </w:r>
      <w:r w:rsidRPr="00834141">
        <w:rPr>
          <w:sz w:val="20"/>
          <w:lang w:val="it-IT"/>
        </w:rPr>
        <w:t>.p.172</w:t>
      </w:r>
    </w:p>
  </w:footnote>
  <w:footnote w:id="136">
    <w:p w:rsidR="00572744" w:rsidRPr="00834141" w:rsidRDefault="00572744" w:rsidP="00572744">
      <w:pPr>
        <w:ind w:left="-1350" w:right="-990"/>
        <w:jc w:val="both"/>
        <w:rPr>
          <w:sz w:val="20"/>
        </w:rPr>
      </w:pPr>
      <w:r w:rsidRPr="00834141">
        <w:rPr>
          <w:rStyle w:val="FootnoteReference"/>
          <w:sz w:val="20"/>
        </w:rPr>
        <w:footnoteRef/>
      </w:r>
      <w:r w:rsidRPr="00834141">
        <w:rPr>
          <w:sz w:val="20"/>
        </w:rPr>
        <w:t xml:space="preserve"> Trebuie precizat faptul că, din cauza traducerii, noi nu mai mărturisim, odată cu </w:t>
      </w:r>
      <w:r w:rsidRPr="00834141">
        <w:rPr>
          <w:i/>
          <w:sz w:val="20"/>
        </w:rPr>
        <w:t>Crezul</w:t>
      </w:r>
      <w:r w:rsidRPr="00834141">
        <w:rPr>
          <w:sz w:val="20"/>
        </w:rPr>
        <w:t xml:space="preserve"> niceo-constantinopolitan, </w:t>
      </w:r>
      <w:r w:rsidRPr="00834141">
        <w:rPr>
          <w:i/>
          <w:sz w:val="20"/>
        </w:rPr>
        <w:t>catholicitatea</w:t>
      </w:r>
      <w:r w:rsidRPr="00834141">
        <w:rPr>
          <w:sz w:val="20"/>
        </w:rPr>
        <w:t xml:space="preserve"> Bisericii (</w:t>
      </w:r>
      <w:r w:rsidRPr="00834141">
        <w:rPr>
          <w:i/>
          <w:sz w:val="20"/>
        </w:rPr>
        <w:t>katholiken Ekklesian</w:t>
      </w:r>
      <w:r w:rsidRPr="00834141">
        <w:rPr>
          <w:sz w:val="20"/>
        </w:rPr>
        <w:t xml:space="preserve"> în originalul grecesc). În Biserica  Ortodoxă Rusă, termenul “</w:t>
      </w:r>
      <w:r w:rsidRPr="00834141">
        <w:rPr>
          <w:i/>
          <w:sz w:val="20"/>
        </w:rPr>
        <w:t>sobornicească</w:t>
      </w:r>
      <w:r w:rsidRPr="00834141">
        <w:rPr>
          <w:sz w:val="20"/>
        </w:rPr>
        <w:t>” (</w:t>
      </w:r>
      <w:r w:rsidRPr="00834141">
        <w:rPr>
          <w:i/>
          <w:sz w:val="20"/>
        </w:rPr>
        <w:t>sobornaya</w:t>
      </w:r>
      <w:r w:rsidRPr="00834141">
        <w:rPr>
          <w:sz w:val="20"/>
        </w:rPr>
        <w:t xml:space="preserve">, forma adjectivală a lui </w:t>
      </w:r>
      <w:r w:rsidRPr="00834141">
        <w:rPr>
          <w:i/>
          <w:sz w:val="20"/>
        </w:rPr>
        <w:t>sobornost</w:t>
      </w:r>
      <w:r w:rsidRPr="00834141">
        <w:rPr>
          <w:sz w:val="20"/>
        </w:rPr>
        <w:t>) l-a înlocuit pe cel de “catholicească” (</w:t>
      </w:r>
      <w:r w:rsidRPr="00834141">
        <w:rPr>
          <w:i/>
          <w:sz w:val="20"/>
        </w:rPr>
        <w:t>katoliceskaya</w:t>
      </w:r>
      <w:r w:rsidRPr="00834141">
        <w:rPr>
          <w:sz w:val="20"/>
        </w:rPr>
        <w:t xml:space="preserve">) după respingerea de către ruşi a Sinodului de la Ferrara/Florenţa, dar nu acoperă conceptul originar (a se v.: Dr.Ştefan Toma, „Coordonate eclesiologice în gândirea teologică a pr.Dumitru Stăniloae”, în Revista Teologică, 88 (2006), n3. 4, p.171). </w:t>
      </w:r>
      <w:r w:rsidRPr="00834141">
        <w:rPr>
          <w:i/>
          <w:sz w:val="20"/>
        </w:rPr>
        <w:t xml:space="preserve">Kata </w:t>
      </w:r>
      <w:r w:rsidRPr="00834141">
        <w:rPr>
          <w:sz w:val="20"/>
        </w:rPr>
        <w:t xml:space="preserve">(potrivit, conform) şi </w:t>
      </w:r>
      <w:r w:rsidRPr="00834141">
        <w:rPr>
          <w:i/>
          <w:sz w:val="20"/>
        </w:rPr>
        <w:t xml:space="preserve">holon </w:t>
      </w:r>
      <w:r w:rsidRPr="00834141">
        <w:rPr>
          <w:sz w:val="20"/>
        </w:rPr>
        <w:t>(întregului)</w:t>
      </w:r>
      <w:r w:rsidRPr="00834141">
        <w:rPr>
          <w:i/>
          <w:sz w:val="20"/>
        </w:rPr>
        <w:t>,</w:t>
      </w:r>
      <w:r w:rsidRPr="00834141">
        <w:rPr>
          <w:sz w:val="20"/>
        </w:rPr>
        <w:t xml:space="preserve"> iar în limba latină</w:t>
      </w:r>
      <w:r w:rsidRPr="00834141">
        <w:rPr>
          <w:i/>
          <w:sz w:val="20"/>
        </w:rPr>
        <w:t xml:space="preserve"> secundum totum, quia per totum est, </w:t>
      </w:r>
      <w:r w:rsidRPr="00834141">
        <w:rPr>
          <w:sz w:val="20"/>
        </w:rPr>
        <w:t>exprimă o totalitate care nu este geografică, orizontală, cantitativă, fiind şi opusă oricărei fragmentări a dogmei. Expresia Sfântului Ignatie (</w:t>
      </w:r>
      <w:r w:rsidRPr="00834141">
        <w:rPr>
          <w:i/>
          <w:sz w:val="20"/>
        </w:rPr>
        <w:t>Smyrn</w:t>
      </w:r>
      <w:r w:rsidRPr="00834141">
        <w:rPr>
          <w:sz w:val="20"/>
        </w:rPr>
        <w:t>., 8,2</w:t>
      </w:r>
      <w:r w:rsidRPr="00834141">
        <w:rPr>
          <w:i/>
          <w:sz w:val="20"/>
        </w:rPr>
        <w:t>.</w:t>
      </w:r>
      <w:r w:rsidRPr="00834141">
        <w:rPr>
          <w:sz w:val="20"/>
        </w:rPr>
        <w:t>):</w:t>
      </w:r>
      <w:r w:rsidRPr="00834141">
        <w:rPr>
          <w:rStyle w:val="FootnoteReference"/>
          <w:i/>
          <w:sz w:val="20"/>
        </w:rPr>
        <w:t xml:space="preserve"> </w:t>
      </w:r>
      <w:r w:rsidRPr="00834141">
        <w:rPr>
          <w:sz w:val="20"/>
        </w:rPr>
        <w:t>“</w:t>
      </w:r>
      <w:r w:rsidRPr="00834141">
        <w:rPr>
          <w:i/>
          <w:sz w:val="20"/>
        </w:rPr>
        <w:t xml:space="preserve">Acolo unde este Hristos Iisus, acolo este Biserica catholică </w:t>
      </w:r>
      <w:r w:rsidRPr="00834141">
        <w:rPr>
          <w:sz w:val="20"/>
        </w:rPr>
        <w:t>(</w:t>
      </w:r>
      <w:r w:rsidRPr="00834141">
        <w:rPr>
          <w:i/>
          <w:sz w:val="20"/>
        </w:rPr>
        <w:t>katholike ekklesia</w:t>
      </w:r>
      <w:r w:rsidRPr="00834141">
        <w:rPr>
          <w:sz w:val="20"/>
        </w:rPr>
        <w:t>)</w:t>
      </w:r>
      <w:r w:rsidRPr="00834141">
        <w:rPr>
          <w:i/>
          <w:sz w:val="20"/>
        </w:rPr>
        <w:t xml:space="preserve">” </w:t>
      </w:r>
      <w:r w:rsidRPr="00834141">
        <w:rPr>
          <w:sz w:val="20"/>
        </w:rPr>
        <w:t>arată această unitate a plinătăţii care nu depinde nicidecum de condiţii istorice, spaţiale şi cantitative, (v.: Paul Evdokimov,</w:t>
      </w:r>
      <w:r w:rsidRPr="00834141">
        <w:rPr>
          <w:i/>
          <w:sz w:val="20"/>
        </w:rPr>
        <w:t xml:space="preserve"> Ortodoxia,</w:t>
      </w:r>
      <w:r w:rsidRPr="00834141">
        <w:rPr>
          <w:sz w:val="20"/>
        </w:rPr>
        <w:t xml:space="preserve">trad.din.lb. franceză de Dr.Irineu Ioan Popa, EIB,1996, p.171). Prin urmare </w:t>
      </w:r>
      <w:r w:rsidRPr="00834141">
        <w:rPr>
          <w:i/>
          <w:sz w:val="20"/>
        </w:rPr>
        <w:t>catholicitatea</w:t>
      </w:r>
      <w:r w:rsidRPr="00834141">
        <w:rPr>
          <w:sz w:val="20"/>
        </w:rPr>
        <w:t xml:space="preserve"> are un sens intensiv, calitativ şi unul extensiv, cantitativ, Ortodoxia accentuându-l mereu pe primul: Biseirca este </w:t>
      </w:r>
      <w:r w:rsidRPr="00834141">
        <w:rPr>
          <w:i/>
          <w:sz w:val="20"/>
        </w:rPr>
        <w:t>catholică</w:t>
      </w:r>
      <w:r w:rsidRPr="00834141">
        <w:rPr>
          <w:sz w:val="20"/>
        </w:rPr>
        <w:t xml:space="preserve">, adică are deplinătate şi dacă nu este răspândită pretutindeni. Totuşi, părintele Stăniloae realizează legătura dintre </w:t>
      </w:r>
      <w:r w:rsidRPr="00834141">
        <w:rPr>
          <w:i/>
          <w:sz w:val="20"/>
        </w:rPr>
        <w:t>catholicitate</w:t>
      </w:r>
      <w:r w:rsidRPr="00834141">
        <w:rPr>
          <w:sz w:val="20"/>
        </w:rPr>
        <w:t xml:space="preserve"> şi </w:t>
      </w:r>
      <w:r w:rsidRPr="00834141">
        <w:rPr>
          <w:i/>
          <w:sz w:val="20"/>
        </w:rPr>
        <w:t>sobornicitate</w:t>
      </w:r>
      <w:r w:rsidRPr="00834141">
        <w:rPr>
          <w:sz w:val="20"/>
        </w:rPr>
        <w:t>, arătând că deplinătatea (</w:t>
      </w:r>
      <w:r w:rsidRPr="00834141">
        <w:rPr>
          <w:i/>
          <w:sz w:val="20"/>
        </w:rPr>
        <w:t>catholicitatea</w:t>
      </w:r>
      <w:r w:rsidRPr="00834141">
        <w:rPr>
          <w:sz w:val="20"/>
        </w:rPr>
        <w:t>) nu este de sine, ci se experiează de către trupul eclesial: “Biserica este un întreg organic, un organism sau un corp spiritual, o plenitudine care are totul, iar acest tot, această plenitudine e prezentă şi eficientă în fiecare din mădularele ei, din actele ei, din părţile ei. Înţelesul acesta al Bisericii precizează înţelesul ei de “corp” al lui Hristos. (…) Biserica are pe Hristos întreg cu toate darurile Lui mântuitoare şi îndumnezeitoare şi fiecare Biserică locală şi chiar fiecare credincios Îl are întreg, dar numai întrucât rămâne în “întregul“ corpului. Aşa cum în orice celulă a unui corp e corpul întreg cu lucrarea lui, cu specificul lui, aşa este în orice mădular sau parte a ei, Biserica întreagă şi prin aceasta Hristos întreg, dar numai întrucât respectivul mădular, sau respectiva parte a ei rămâne în Biserică. Mădularele nu sunt uniformizate prin aceasta, ci sunt complementare, datorită faptului că viaţa corpului întreg, sau Hristos însuşi prin Duhul Sfânt e prezent în mod activ în toate”, Pr.Prof.Dr.Dumitru Stăniloae,</w:t>
      </w:r>
      <w:r w:rsidRPr="00834141">
        <w:rPr>
          <w:i/>
          <w:sz w:val="20"/>
        </w:rPr>
        <w:t xml:space="preserve"> TDO 2,</w:t>
      </w:r>
      <w:r w:rsidRPr="00834141">
        <w:rPr>
          <w:sz w:val="20"/>
        </w:rPr>
        <w:t xml:space="preserve"> p.284. </w:t>
      </w:r>
      <w:r w:rsidRPr="00284E9A">
        <w:rPr>
          <w:i/>
          <w:sz w:val="20"/>
        </w:rPr>
        <w:t>A se vedea şi foarte clarul excurs terminologic: „catholic”, „ortodox”, „ecumenic”, în :</w:t>
      </w:r>
      <w:r w:rsidRPr="00284E9A">
        <w:rPr>
          <w:sz w:val="20"/>
        </w:rPr>
        <w:t xml:space="preserve"> Diacon Ioan I.Ică jr</w:t>
      </w:r>
      <w:r w:rsidRPr="00284E9A">
        <w:rPr>
          <w:i/>
          <w:sz w:val="20"/>
        </w:rPr>
        <w:t xml:space="preserve">, Canonul Ortodoxiei, I. Canonul apostolic al primelor secole, </w:t>
      </w:r>
      <w:r w:rsidRPr="00284E9A">
        <w:rPr>
          <w:sz w:val="20"/>
        </w:rPr>
        <w:t>Deisis/Stavropoleos, 2008, p.6,</w:t>
      </w:r>
      <w:r w:rsidRPr="00284E9A">
        <w:rPr>
          <w:i/>
          <w:sz w:val="20"/>
        </w:rPr>
        <w:t xml:space="preserve"> unde se şi propune grafia cu th, „catholic” (şi prin urmare şi „catholicitate”), pentru a se evita confuzia cu „romano-catolic”.</w:t>
      </w:r>
    </w:p>
  </w:footnote>
  <w:footnote w:id="137">
    <w:p w:rsidR="00572744" w:rsidRPr="00834141" w:rsidRDefault="00572744" w:rsidP="00572744">
      <w:pPr>
        <w:pStyle w:val="FootnoteText"/>
        <w:ind w:left="-1350" w:right="-990"/>
        <w:jc w:val="both"/>
        <w:rPr>
          <w:sz w:val="20"/>
          <w:lang w:val="it-IT"/>
        </w:rPr>
      </w:pPr>
      <w:r w:rsidRPr="00834141">
        <w:rPr>
          <w:rStyle w:val="FootnoteReference"/>
          <w:sz w:val="20"/>
        </w:rPr>
        <w:footnoteRef/>
      </w:r>
      <w:r w:rsidRPr="00834141">
        <w:rPr>
          <w:sz w:val="20"/>
          <w:lang w:val="it-IT"/>
        </w:rPr>
        <w:t xml:space="preserve"> Arhid.Prof.Dr.Ioan N.Floca, </w:t>
      </w:r>
      <w:r w:rsidRPr="00834141">
        <w:rPr>
          <w:i/>
          <w:sz w:val="20"/>
          <w:lang w:val="it-IT"/>
        </w:rPr>
        <w:t xml:space="preserve">Drept canonic ortodox,legislaţie şi administraţie bisericească, </w:t>
      </w:r>
      <w:r w:rsidRPr="00834141">
        <w:rPr>
          <w:sz w:val="20"/>
          <w:lang w:val="it-IT"/>
        </w:rPr>
        <w:t xml:space="preserve">vol.I </w:t>
      </w:r>
      <w:r w:rsidRPr="00834141">
        <w:rPr>
          <w:i/>
          <w:sz w:val="20"/>
          <w:lang w:val="it-IT"/>
        </w:rPr>
        <w:t xml:space="preserve">, </w:t>
      </w:r>
      <w:r w:rsidRPr="00834141">
        <w:rPr>
          <w:sz w:val="20"/>
          <w:lang w:val="it-IT"/>
        </w:rPr>
        <w:t>EIB, 1990, p.18</w:t>
      </w:r>
    </w:p>
  </w:footnote>
  <w:footnote w:id="138">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Pr.Prof.D.Stăniloae,</w:t>
      </w:r>
      <w:r w:rsidRPr="00834141">
        <w:rPr>
          <w:i/>
          <w:sz w:val="20"/>
          <w:lang w:val="it-IT"/>
        </w:rPr>
        <w:t xml:space="preserve"> TDO</w:t>
      </w:r>
      <w:r w:rsidRPr="00834141">
        <w:rPr>
          <w:sz w:val="20"/>
          <w:lang w:val="it-IT"/>
        </w:rPr>
        <w:t xml:space="preserve"> </w:t>
      </w:r>
      <w:r w:rsidRPr="00834141">
        <w:rPr>
          <w:i/>
          <w:sz w:val="20"/>
          <w:lang w:val="it-IT"/>
        </w:rPr>
        <w:t>2,</w:t>
      </w:r>
      <w:r w:rsidRPr="00834141">
        <w:rPr>
          <w:sz w:val="20"/>
          <w:lang w:val="it-IT"/>
        </w:rPr>
        <w:t xml:space="preserve"> p.283</w:t>
      </w:r>
    </w:p>
  </w:footnote>
  <w:footnote w:id="139">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i/>
          <w:sz w:val="20"/>
          <w:lang w:val="it-IT"/>
        </w:rPr>
        <w:t>Idem</w:t>
      </w:r>
      <w:r w:rsidRPr="00834141">
        <w:rPr>
          <w:sz w:val="20"/>
          <w:lang w:val="it-IT"/>
        </w:rPr>
        <w:t>,  “</w:t>
      </w:r>
      <w:r w:rsidRPr="00834141">
        <w:rPr>
          <w:i/>
          <w:sz w:val="20"/>
          <w:lang w:val="it-IT"/>
        </w:rPr>
        <w:t>Coordonatele (…)”,op.cit.</w:t>
      </w:r>
      <w:r w:rsidRPr="00834141">
        <w:rPr>
          <w:sz w:val="20"/>
          <w:lang w:val="it-IT"/>
        </w:rPr>
        <w:t>,p.516</w:t>
      </w:r>
    </w:p>
  </w:footnote>
  <w:footnote w:id="140">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w:t>
      </w:r>
      <w:r w:rsidRPr="00834141">
        <w:rPr>
          <w:i/>
          <w:sz w:val="20"/>
          <w:lang w:val="it-IT"/>
        </w:rPr>
        <w:t>Idem</w:t>
      </w:r>
      <w:r w:rsidRPr="00834141">
        <w:rPr>
          <w:sz w:val="20"/>
          <w:lang w:val="it-IT"/>
        </w:rPr>
        <w:t xml:space="preserve">, </w:t>
      </w:r>
      <w:r w:rsidRPr="00834141">
        <w:rPr>
          <w:i/>
          <w:sz w:val="20"/>
          <w:lang w:val="it-IT"/>
        </w:rPr>
        <w:t>TDO 2,</w:t>
      </w:r>
      <w:r w:rsidRPr="00834141">
        <w:rPr>
          <w:sz w:val="20"/>
          <w:lang w:val="it-IT"/>
        </w:rPr>
        <w:t>p.283,284</w:t>
      </w:r>
    </w:p>
  </w:footnote>
  <w:footnote w:id="141">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w:t>
      </w:r>
      <w:r w:rsidRPr="00834141">
        <w:rPr>
          <w:i/>
          <w:sz w:val="20"/>
          <w:lang w:val="it-IT"/>
        </w:rPr>
        <w:t>Idem</w:t>
      </w:r>
      <w:r w:rsidRPr="00834141">
        <w:rPr>
          <w:sz w:val="20"/>
          <w:lang w:val="it-IT"/>
        </w:rPr>
        <w:t>, “Sobornicitatea deschisă”,</w:t>
      </w:r>
      <w:r w:rsidRPr="00834141">
        <w:rPr>
          <w:i/>
          <w:sz w:val="20"/>
          <w:lang w:val="it-IT"/>
        </w:rPr>
        <w:t>op.cit.</w:t>
      </w:r>
      <w:r w:rsidRPr="00834141">
        <w:rPr>
          <w:sz w:val="20"/>
          <w:lang w:val="it-IT"/>
        </w:rPr>
        <w:t>,p.172</w:t>
      </w:r>
    </w:p>
  </w:footnote>
  <w:footnote w:id="142">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w:t>
      </w:r>
      <w:r w:rsidRPr="00834141">
        <w:rPr>
          <w:i/>
          <w:sz w:val="20"/>
          <w:lang w:val="it-IT"/>
        </w:rPr>
        <w:t xml:space="preserve">Ibidem, </w:t>
      </w:r>
      <w:r w:rsidRPr="00834141">
        <w:rPr>
          <w:sz w:val="20"/>
          <w:lang w:val="it-IT"/>
        </w:rPr>
        <w:t>p.172</w:t>
      </w:r>
    </w:p>
  </w:footnote>
  <w:footnote w:id="143">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w:t>
      </w:r>
      <w:r w:rsidRPr="00834141">
        <w:rPr>
          <w:i/>
          <w:sz w:val="20"/>
          <w:lang w:val="it-IT"/>
        </w:rPr>
        <w:t>Idem</w:t>
      </w:r>
      <w:r w:rsidRPr="00834141">
        <w:rPr>
          <w:sz w:val="20"/>
          <w:lang w:val="it-IT"/>
        </w:rPr>
        <w:t>, “Unitate şi diversitate în Tradţia ortodoxă”</w:t>
      </w:r>
      <w:r w:rsidRPr="00834141">
        <w:rPr>
          <w:i/>
          <w:sz w:val="20"/>
          <w:lang w:val="it-IT"/>
        </w:rPr>
        <w:t>,</w:t>
      </w:r>
      <w:r w:rsidRPr="00834141">
        <w:rPr>
          <w:sz w:val="20"/>
          <w:lang w:val="it-IT"/>
        </w:rPr>
        <w:t>Ortodoxia,nr.3,1970,p.337</w:t>
      </w:r>
    </w:p>
  </w:footnote>
  <w:footnote w:id="144">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w:t>
      </w:r>
      <w:r w:rsidRPr="00834141">
        <w:rPr>
          <w:i/>
          <w:sz w:val="20"/>
          <w:lang w:val="it-IT"/>
        </w:rPr>
        <w:t>Idem</w:t>
      </w:r>
      <w:r w:rsidRPr="00834141">
        <w:rPr>
          <w:sz w:val="20"/>
          <w:lang w:val="it-IT"/>
        </w:rPr>
        <w:t>, “Sobornicitate deschisă”</w:t>
      </w:r>
      <w:r w:rsidRPr="00834141">
        <w:rPr>
          <w:i/>
          <w:sz w:val="20"/>
          <w:lang w:val="it-IT"/>
        </w:rPr>
        <w:t>,op.cit.,</w:t>
      </w:r>
      <w:r w:rsidRPr="00834141">
        <w:rPr>
          <w:sz w:val="20"/>
          <w:lang w:val="it-IT"/>
        </w:rPr>
        <w:t>p.172</w:t>
      </w:r>
    </w:p>
  </w:footnote>
  <w:footnote w:id="145">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Cf., </w:t>
      </w:r>
      <w:r w:rsidRPr="00834141">
        <w:rPr>
          <w:i/>
          <w:sz w:val="20"/>
          <w:lang w:val="it-IT"/>
        </w:rPr>
        <w:t>Idem</w:t>
      </w:r>
      <w:r w:rsidRPr="00834141">
        <w:rPr>
          <w:sz w:val="20"/>
          <w:lang w:val="it-IT"/>
        </w:rPr>
        <w:t>, “Revelaţia prin acte,cuvinte şi imagini”, Ortodoxia, nr.3,1968, p.347-377</w:t>
      </w:r>
    </w:p>
  </w:footnote>
  <w:footnote w:id="146">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“Il Regno”, Documentazione,15 oct.,1970, p.415</w:t>
      </w:r>
    </w:p>
  </w:footnote>
  <w:footnote w:id="147">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“Sobornicitate deschisă”,</w:t>
      </w:r>
      <w:r w:rsidRPr="00834141">
        <w:rPr>
          <w:i/>
          <w:sz w:val="20"/>
          <w:lang w:val="it-IT"/>
        </w:rPr>
        <w:t xml:space="preserve"> op.cit.</w:t>
      </w:r>
      <w:r w:rsidRPr="00834141">
        <w:rPr>
          <w:sz w:val="20"/>
          <w:lang w:val="it-IT"/>
        </w:rPr>
        <w:t>, p.173</w:t>
      </w:r>
    </w:p>
  </w:footnote>
  <w:footnote w:id="148">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w:t>
      </w:r>
      <w:r w:rsidRPr="00834141">
        <w:rPr>
          <w:i/>
          <w:sz w:val="20"/>
          <w:lang w:val="it-IT"/>
        </w:rPr>
        <w:t>Ibidem</w:t>
      </w:r>
      <w:r w:rsidRPr="00834141">
        <w:rPr>
          <w:sz w:val="20"/>
          <w:lang w:val="it-IT"/>
        </w:rPr>
        <w:t>, p.178,179</w:t>
      </w:r>
    </w:p>
  </w:footnote>
  <w:footnote w:id="149">
    <w:p w:rsidR="00572744" w:rsidRPr="00834141" w:rsidRDefault="00572744" w:rsidP="00572744">
      <w:pPr>
        <w:pStyle w:val="FootnoteText"/>
        <w:ind w:left="-1350" w:right="-990"/>
        <w:jc w:val="both"/>
        <w:rPr>
          <w:sz w:val="20"/>
          <w:lang w:val="it-IT"/>
        </w:rPr>
      </w:pPr>
      <w:r w:rsidRPr="00834141">
        <w:rPr>
          <w:rStyle w:val="FootnoteReference"/>
          <w:sz w:val="20"/>
        </w:rPr>
        <w:footnoteRef/>
      </w:r>
      <w:r w:rsidRPr="00834141">
        <w:rPr>
          <w:sz w:val="20"/>
          <w:lang w:val="it-IT"/>
        </w:rPr>
        <w:t xml:space="preserve"> </w:t>
      </w:r>
      <w:r w:rsidRPr="00834141">
        <w:rPr>
          <w:i/>
          <w:sz w:val="20"/>
          <w:lang w:val="it-IT"/>
        </w:rPr>
        <w:t>Idem</w:t>
      </w:r>
      <w:r w:rsidRPr="00834141">
        <w:rPr>
          <w:sz w:val="20"/>
          <w:lang w:val="it-IT"/>
        </w:rPr>
        <w:t>,</w:t>
      </w:r>
      <w:r w:rsidRPr="00834141">
        <w:rPr>
          <w:i/>
          <w:sz w:val="20"/>
          <w:lang w:val="it-IT"/>
        </w:rPr>
        <w:t xml:space="preserve"> Rugăciunile pentru alţii şi sobornicitatea Bisericii, </w:t>
      </w:r>
      <w:r w:rsidRPr="00834141">
        <w:rPr>
          <w:sz w:val="20"/>
          <w:lang w:val="it-IT"/>
        </w:rPr>
        <w:t>Studii Teologice,nr.1-2,1970,p.32</w:t>
      </w:r>
    </w:p>
  </w:footnote>
  <w:footnote w:id="150">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Sf.Ignatie, </w:t>
      </w:r>
      <w:r w:rsidRPr="00834141">
        <w:rPr>
          <w:i/>
          <w:sz w:val="20"/>
          <w:lang w:val="it-IT"/>
        </w:rPr>
        <w:t>Smyrn</w:t>
      </w:r>
      <w:r w:rsidRPr="00834141">
        <w:rPr>
          <w:sz w:val="20"/>
          <w:lang w:val="it-IT"/>
        </w:rPr>
        <w:t>., 8,2</w:t>
      </w:r>
    </w:p>
  </w:footnote>
  <w:footnote w:id="151">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Paul Evdokimov,</w:t>
      </w:r>
      <w:r w:rsidRPr="00834141">
        <w:rPr>
          <w:i/>
          <w:sz w:val="20"/>
          <w:lang w:val="it-IT"/>
        </w:rPr>
        <w:t xml:space="preserve"> Ortodoxia,</w:t>
      </w:r>
      <w:r w:rsidRPr="00834141">
        <w:rPr>
          <w:sz w:val="20"/>
          <w:lang w:val="it-IT"/>
        </w:rPr>
        <w:t xml:space="preserve"> trad. din lb.franceză de Dr.Irineu Ioan Popa, arhiereu vicar, Edit.Inst. Biblic,1996, p.171</w:t>
      </w:r>
    </w:p>
  </w:footnote>
  <w:footnote w:id="152">
    <w:p w:rsidR="00572744" w:rsidRPr="00834141" w:rsidRDefault="00572744" w:rsidP="00572744">
      <w:pPr>
        <w:pStyle w:val="FootnoteText"/>
        <w:ind w:left="-1350" w:right="-990"/>
        <w:rPr>
          <w:sz w:val="20"/>
          <w:lang w:val="it-IT"/>
        </w:rPr>
      </w:pPr>
      <w:r w:rsidRPr="00834141">
        <w:rPr>
          <w:rStyle w:val="FootnoteReference"/>
          <w:sz w:val="20"/>
        </w:rPr>
        <w:footnoteRef/>
      </w:r>
      <w:r w:rsidRPr="00834141">
        <w:rPr>
          <w:sz w:val="20"/>
          <w:lang w:val="it-IT"/>
        </w:rPr>
        <w:t xml:space="preserve"> Pr.Prof.D.Stăniloae,</w:t>
      </w:r>
      <w:r w:rsidRPr="00834141">
        <w:rPr>
          <w:i/>
          <w:sz w:val="20"/>
          <w:lang w:val="it-IT"/>
        </w:rPr>
        <w:t>TDO 2,</w:t>
      </w:r>
      <w:r w:rsidRPr="00834141">
        <w:rPr>
          <w:sz w:val="20"/>
          <w:lang w:val="it-IT"/>
        </w:rPr>
        <w:t xml:space="preserve"> p.284</w:t>
      </w:r>
    </w:p>
  </w:footnote>
  <w:footnote w:id="153">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lang w:val="it-IT"/>
        </w:rPr>
        <w:t xml:space="preserve"> </w:t>
      </w:r>
      <w:r w:rsidRPr="00834141">
        <w:rPr>
          <w:i/>
          <w:sz w:val="20"/>
          <w:lang w:val="it-IT"/>
        </w:rPr>
        <w:t>Orthodoxy and Cultures, Inter-Orthodox Consultation on Gospel and Cultures,</w:t>
      </w:r>
      <w:r w:rsidRPr="00834141">
        <w:rPr>
          <w:sz w:val="20"/>
          <w:lang w:val="it-IT"/>
        </w:rPr>
        <w:t xml:space="preserve"> Addis Ababa, Ethiopia,19-27 January 1996, </w:t>
      </w:r>
      <w:r w:rsidRPr="00834141">
        <w:rPr>
          <w:sz w:val="20"/>
        </w:rPr>
        <w:t xml:space="preserve">WCC, Geneva, Switzerland, 1996, edited by Ioan Sauca, </w:t>
      </w:r>
      <w:r w:rsidRPr="00834141">
        <w:rPr>
          <w:i/>
          <w:sz w:val="20"/>
        </w:rPr>
        <w:t xml:space="preserve">Final Report </w:t>
      </w:r>
      <w:r w:rsidRPr="00834141">
        <w:rPr>
          <w:sz w:val="20"/>
        </w:rPr>
        <w:t>, p.181-182</w:t>
      </w:r>
    </w:p>
  </w:footnote>
  <w:footnote w:id="154">
    <w:p w:rsidR="00572744" w:rsidRPr="00834141" w:rsidRDefault="00572744" w:rsidP="00572744">
      <w:pPr>
        <w:pStyle w:val="FootnoteText"/>
        <w:ind w:left="-1350" w:right="-990"/>
        <w:rPr>
          <w:sz w:val="20"/>
        </w:rPr>
      </w:pPr>
      <w:r w:rsidRPr="00834141">
        <w:rPr>
          <w:rStyle w:val="FootnoteReference"/>
          <w:sz w:val="20"/>
        </w:rPr>
        <w:footnoteRef/>
      </w:r>
      <w:r w:rsidRPr="00834141">
        <w:rPr>
          <w:sz w:val="20"/>
        </w:rPr>
        <w:t xml:space="preserve"> Pr.Prof.D.Stăniloae,</w:t>
      </w:r>
      <w:r w:rsidRPr="00834141">
        <w:rPr>
          <w:i/>
          <w:sz w:val="20"/>
        </w:rPr>
        <w:t xml:space="preserve"> </w:t>
      </w:r>
      <w:r w:rsidRPr="00834141">
        <w:rPr>
          <w:sz w:val="20"/>
        </w:rPr>
        <w:t>“Unitate şi diversitate în Tradiţia Ortodoxă”</w:t>
      </w:r>
      <w:r w:rsidRPr="00834141">
        <w:rPr>
          <w:i/>
          <w:sz w:val="20"/>
        </w:rPr>
        <w:t>,op.cit</w:t>
      </w:r>
      <w:r w:rsidRPr="00834141">
        <w:rPr>
          <w:sz w:val="20"/>
        </w:rPr>
        <w:t>.,p.333</w:t>
      </w:r>
    </w:p>
  </w:footnote>
  <w:footnote w:id="155">
    <w:p w:rsidR="00572744" w:rsidRPr="00834141" w:rsidRDefault="00572744" w:rsidP="00572744">
      <w:pPr>
        <w:pStyle w:val="FootnoteText"/>
        <w:ind w:left="-1350" w:right="-990"/>
        <w:jc w:val="both"/>
        <w:rPr>
          <w:sz w:val="20"/>
        </w:rPr>
      </w:pPr>
      <w:r w:rsidRPr="00834141">
        <w:rPr>
          <w:rStyle w:val="FootnoteReference"/>
          <w:sz w:val="20"/>
        </w:rPr>
        <w:footnoteRef/>
      </w:r>
      <w:r w:rsidRPr="00834141">
        <w:rPr>
          <w:sz w:val="20"/>
        </w:rPr>
        <w:t xml:space="preserve"> Pr.Prof.univ.dr.Petru Rezuş, </w:t>
      </w:r>
      <w:r w:rsidRPr="00834141">
        <w:rPr>
          <w:i/>
          <w:sz w:val="20"/>
        </w:rPr>
        <w:t>Teologia ortodoxă contemporană,</w:t>
      </w:r>
      <w:r w:rsidRPr="00834141">
        <w:rPr>
          <w:sz w:val="20"/>
        </w:rPr>
        <w:t xml:space="preserve"> Ed. Mitropoliei Banatului, Timişoara, 1989, p.423 </w:t>
      </w:r>
    </w:p>
  </w:footnote>
  <w:footnote w:id="156">
    <w:p w:rsidR="00572744" w:rsidRPr="00AA3214" w:rsidRDefault="00572744" w:rsidP="00572744">
      <w:pPr>
        <w:pStyle w:val="FootnoteText"/>
        <w:ind w:left="-1350" w:right="-990"/>
        <w:jc w:val="both"/>
        <w:rPr>
          <w:sz w:val="20"/>
          <w:lang w:val="it-IT"/>
        </w:rPr>
      </w:pPr>
      <w:r w:rsidRPr="00834141">
        <w:rPr>
          <w:rStyle w:val="FootnoteReference"/>
          <w:sz w:val="20"/>
        </w:rPr>
        <w:footnoteRef/>
      </w:r>
      <w:r w:rsidRPr="00834141">
        <w:rPr>
          <w:sz w:val="20"/>
          <w:lang w:val="it-IT"/>
        </w:rPr>
        <w:t xml:space="preserve"> v.: Pr.Prof.Dr.Ion Bria, “Biserica-Una Sancta. De la convergenţele teologice ecumenice spre “comunitate conciliară”, Revista Teologică., nr.3, 1997</w:t>
      </w:r>
    </w:p>
  </w:footnote>
  <w:footnote w:id="157">
    <w:p w:rsidR="00572744" w:rsidRPr="00AA3214" w:rsidRDefault="00572744" w:rsidP="00572744">
      <w:pPr>
        <w:pStyle w:val="FootnoteText"/>
        <w:ind w:left="-1350" w:right="-990"/>
        <w:rPr>
          <w:sz w:val="20"/>
          <w:lang w:val="it-IT"/>
        </w:rPr>
      </w:pPr>
      <w:r w:rsidRPr="00AA3214">
        <w:rPr>
          <w:rStyle w:val="FootnoteReference"/>
          <w:sz w:val="20"/>
        </w:rPr>
        <w:footnoteRef/>
      </w:r>
      <w:r w:rsidRPr="00AA3214">
        <w:rPr>
          <w:sz w:val="20"/>
          <w:lang w:val="it-IT"/>
        </w:rPr>
        <w:t xml:space="preserve"> Pr.Prof.D.Stăniloae, </w:t>
      </w:r>
      <w:r w:rsidRPr="00AA3214">
        <w:rPr>
          <w:i/>
          <w:sz w:val="20"/>
          <w:lang w:val="it-IT"/>
        </w:rPr>
        <w:t>TDO 1,</w:t>
      </w:r>
      <w:r w:rsidRPr="00AA3214">
        <w:rPr>
          <w:sz w:val="20"/>
          <w:lang w:val="it-IT"/>
        </w:rPr>
        <w:t xml:space="preserve"> p.61, </w:t>
      </w:r>
      <w:r w:rsidRPr="00AA3214">
        <w:rPr>
          <w:i/>
          <w:sz w:val="20"/>
          <w:lang w:val="it-IT"/>
        </w:rPr>
        <w:t>TDO 2</w:t>
      </w:r>
      <w:r w:rsidRPr="00AA3214">
        <w:rPr>
          <w:sz w:val="20"/>
          <w:lang w:val="it-IT"/>
        </w:rPr>
        <w:t>,</w:t>
      </w:r>
      <w:r w:rsidRPr="00AA3214">
        <w:rPr>
          <w:i/>
          <w:sz w:val="20"/>
          <w:lang w:val="it-IT"/>
        </w:rPr>
        <w:t xml:space="preserve"> </w:t>
      </w:r>
      <w:r w:rsidRPr="00AA3214">
        <w:rPr>
          <w:sz w:val="20"/>
          <w:lang w:val="it-IT"/>
        </w:rPr>
        <w:t>p.206</w:t>
      </w:r>
      <w:r>
        <w:rPr>
          <w:sz w:val="20"/>
          <w:lang w:val="it-IT"/>
        </w:rPr>
        <w:t>; a se vedea şi capitolul</w:t>
      </w:r>
      <w:r w:rsidRPr="00AA3214">
        <w:rPr>
          <w:sz w:val="20"/>
          <w:lang w:val="it-IT"/>
        </w:rPr>
        <w:t xml:space="preserve"> “Forma Bisericii</w:t>
      </w:r>
      <w:r>
        <w:rPr>
          <w:sz w:val="20"/>
          <w:lang w:val="it-IT"/>
        </w:rPr>
        <w:t>” ,</w:t>
      </w:r>
      <w:r w:rsidRPr="00AA3214">
        <w:rPr>
          <w:sz w:val="20"/>
          <w:lang w:val="it-IT"/>
        </w:rPr>
        <w:t xml:space="preserve"> </w:t>
      </w:r>
      <w:r w:rsidRPr="00AA3214">
        <w:rPr>
          <w:bCs/>
          <w:sz w:val="20"/>
          <w:lang w:val="it-IT"/>
        </w:rPr>
        <w:t>Nicolae Moşoiu,</w:t>
      </w:r>
      <w:r w:rsidRPr="00AA3214">
        <w:rPr>
          <w:smallCaps/>
          <w:sz w:val="20"/>
          <w:lang w:val="it-IT"/>
        </w:rPr>
        <w:t xml:space="preserve"> </w:t>
      </w:r>
      <w:r w:rsidRPr="00AA3214">
        <w:rPr>
          <w:bCs/>
          <w:i/>
          <w:sz w:val="20"/>
          <w:lang w:val="it-IT"/>
        </w:rPr>
        <w:t>Taina prezenţei lui Dumnezeu în viaţa umană. Viziunea creatoare a Părintelui Profesor Dumitru Stăniloae</w:t>
      </w:r>
      <w:r>
        <w:rPr>
          <w:bCs/>
          <w:sz w:val="20"/>
          <w:lang w:val="it-IT"/>
        </w:rPr>
        <w:t>, Ed. Paralela 45,</w:t>
      </w:r>
      <w:r w:rsidRPr="00AA3214">
        <w:rPr>
          <w:bCs/>
          <w:sz w:val="20"/>
          <w:lang w:val="it-IT"/>
        </w:rPr>
        <w:t xml:space="preserve"> 2002</w:t>
      </w:r>
      <w:r>
        <w:rPr>
          <w:bCs/>
          <w:sz w:val="20"/>
          <w:lang w:val="it-IT"/>
        </w:rPr>
        <w:t>,p.177-245</w:t>
      </w:r>
    </w:p>
    <w:p w:rsidR="00572744" w:rsidRPr="00834141" w:rsidRDefault="00572744" w:rsidP="00572744">
      <w:pPr>
        <w:pStyle w:val="FootnoteText"/>
        <w:ind w:left="-1350" w:right="-990"/>
        <w:rPr>
          <w:sz w:val="20"/>
          <w:lang w:val="it-IT"/>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DF3" w:rsidRPr="00BC385B" w:rsidRDefault="00EB0037" w:rsidP="00A15D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744"/>
    <w:rsid w:val="0034512C"/>
    <w:rsid w:val="005078DF"/>
    <w:rsid w:val="00572744"/>
    <w:rsid w:val="00EB003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744"/>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rsid w:val="00572744"/>
    <w:rPr>
      <w:vertAlign w:val="superscript"/>
    </w:rPr>
  </w:style>
  <w:style w:type="paragraph" w:styleId="FootnoteText">
    <w:name w:val="footnote text"/>
    <w:aliases w:val="Note de bas de page Car Car,Note de bas de page Car Caracter,Note de bas de page Car Caracter Caracter,Note de bas de page Car"/>
    <w:basedOn w:val="Normal"/>
    <w:link w:val="FootnoteTextChar"/>
    <w:rsid w:val="00572744"/>
    <w:rPr>
      <w:lang w:val="en-GB"/>
    </w:rPr>
  </w:style>
  <w:style w:type="character" w:customStyle="1" w:styleId="FootnoteTextChar">
    <w:name w:val="Footnote Text Char"/>
    <w:aliases w:val="Note de bas de page Car Car Char,Note de bas de page Car Caracter Char,Note de bas de page Car Caracter Caracter Char,Note de bas de page Car Char"/>
    <w:basedOn w:val="DefaultParagraphFont"/>
    <w:link w:val="FootnoteText"/>
    <w:rsid w:val="00572744"/>
    <w:rPr>
      <w:rFonts w:ascii="Times New Roman" w:eastAsia="Times New Roman" w:hAnsi="Times New Roman" w:cs="Times New Roman"/>
      <w:sz w:val="24"/>
      <w:szCs w:val="20"/>
      <w:lang w:val="en-GB"/>
    </w:rPr>
  </w:style>
  <w:style w:type="paragraph" w:styleId="BodyTextIndent">
    <w:name w:val="Body Text Indent"/>
    <w:basedOn w:val="Normal"/>
    <w:link w:val="BodyTextIndentChar"/>
    <w:uiPriority w:val="99"/>
    <w:rsid w:val="00572744"/>
    <w:pPr>
      <w:ind w:firstLine="720"/>
      <w:jc w:val="both"/>
    </w:pPr>
    <w:rPr>
      <w:b/>
      <w:sz w:val="28"/>
    </w:rPr>
  </w:style>
  <w:style w:type="character" w:customStyle="1" w:styleId="BodyTextIndentChar">
    <w:name w:val="Body Text Indent Char"/>
    <w:basedOn w:val="DefaultParagraphFont"/>
    <w:link w:val="BodyTextIndent"/>
    <w:uiPriority w:val="99"/>
    <w:rsid w:val="00572744"/>
    <w:rPr>
      <w:rFonts w:ascii="Times New Roman" w:eastAsia="Times New Roman" w:hAnsi="Times New Roman" w:cs="Times New Roman"/>
      <w:b/>
      <w:sz w:val="28"/>
      <w:szCs w:val="20"/>
    </w:rPr>
  </w:style>
  <w:style w:type="paragraph" w:customStyle="1" w:styleId="StyleStyle118pt">
    <w:name w:val="Style Style1 + 18 pt"/>
    <w:basedOn w:val="Normal"/>
    <w:link w:val="StyleStyle118ptChar"/>
    <w:autoRedefine/>
    <w:rsid w:val="00572744"/>
    <w:pPr>
      <w:spacing w:before="840" w:after="480"/>
      <w:contextualSpacing/>
      <w:jc w:val="center"/>
      <w:outlineLvl w:val="0"/>
    </w:pPr>
    <w:rPr>
      <w:b/>
      <w:bCs/>
      <w:i/>
      <w:iCs/>
      <w:kern w:val="28"/>
      <w:sz w:val="22"/>
      <w:szCs w:val="22"/>
      <w:lang w:val="en-GB"/>
    </w:rPr>
  </w:style>
  <w:style w:type="character" w:customStyle="1" w:styleId="StyleStyle118ptChar">
    <w:name w:val="Style Style1 + 18 pt Char"/>
    <w:basedOn w:val="DefaultParagraphFont"/>
    <w:link w:val="StyleStyle118pt"/>
    <w:rsid w:val="00572744"/>
    <w:rPr>
      <w:rFonts w:ascii="Times New Roman" w:eastAsia="Times New Roman" w:hAnsi="Times New Roman" w:cs="Times New Roman"/>
      <w:b/>
      <w:bCs/>
      <w:i/>
      <w:iCs/>
      <w:kern w:val="28"/>
      <w:lang w:val="en-GB"/>
    </w:rPr>
  </w:style>
  <w:style w:type="character" w:styleId="Hyperlink">
    <w:name w:val="Hyperlink"/>
    <w:basedOn w:val="DefaultParagraphFont"/>
    <w:uiPriority w:val="99"/>
    <w:rsid w:val="00572744"/>
    <w:rPr>
      <w:color w:val="0000FF"/>
      <w:u w:val="single"/>
    </w:rPr>
  </w:style>
  <w:style w:type="character" w:customStyle="1" w:styleId="googqs-tidbit1">
    <w:name w:val="goog_qs-tidbit1"/>
    <w:basedOn w:val="DefaultParagraphFont"/>
    <w:rsid w:val="00572744"/>
    <w:rPr>
      <w:vanish w:val="0"/>
      <w:webHidden w:val="0"/>
      <w:specVanish w:val="0"/>
    </w:rPr>
  </w:style>
  <w:style w:type="character" w:styleId="EndnoteReference">
    <w:name w:val="endnote reference"/>
    <w:basedOn w:val="DefaultParagraphFont"/>
    <w:uiPriority w:val="99"/>
    <w:rsid w:val="00572744"/>
    <w:rPr>
      <w:vertAlign w:val="superscript"/>
    </w:rPr>
  </w:style>
  <w:style w:type="character" w:customStyle="1" w:styleId="citation">
    <w:name w:val="citation"/>
    <w:basedOn w:val="DefaultParagraphFont"/>
    <w:rsid w:val="00572744"/>
  </w:style>
  <w:style w:type="character" w:customStyle="1" w:styleId="st">
    <w:name w:val="st"/>
    <w:basedOn w:val="DefaultParagraphFont"/>
    <w:rsid w:val="00572744"/>
  </w:style>
  <w:style w:type="paragraph" w:styleId="Header">
    <w:name w:val="header"/>
    <w:basedOn w:val="Normal"/>
    <w:link w:val="HeaderChar"/>
    <w:uiPriority w:val="99"/>
    <w:rsid w:val="00572744"/>
    <w:pPr>
      <w:tabs>
        <w:tab w:val="center" w:pos="4320"/>
        <w:tab w:val="right" w:pos="8640"/>
      </w:tabs>
    </w:pPr>
    <w:rPr>
      <w:szCs w:val="24"/>
      <w:lang w:val="en-US"/>
    </w:rPr>
  </w:style>
  <w:style w:type="character" w:customStyle="1" w:styleId="HeaderChar">
    <w:name w:val="Header Char"/>
    <w:basedOn w:val="DefaultParagraphFont"/>
    <w:link w:val="Header"/>
    <w:uiPriority w:val="99"/>
    <w:rsid w:val="00572744"/>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744"/>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rsid w:val="00572744"/>
    <w:rPr>
      <w:vertAlign w:val="superscript"/>
    </w:rPr>
  </w:style>
  <w:style w:type="paragraph" w:styleId="FootnoteText">
    <w:name w:val="footnote text"/>
    <w:aliases w:val="Note de bas de page Car Car,Note de bas de page Car Caracter,Note de bas de page Car Caracter Caracter,Note de bas de page Car"/>
    <w:basedOn w:val="Normal"/>
    <w:link w:val="FootnoteTextChar"/>
    <w:rsid w:val="00572744"/>
    <w:rPr>
      <w:lang w:val="en-GB"/>
    </w:rPr>
  </w:style>
  <w:style w:type="character" w:customStyle="1" w:styleId="FootnoteTextChar">
    <w:name w:val="Footnote Text Char"/>
    <w:aliases w:val="Note de bas de page Car Car Char,Note de bas de page Car Caracter Char,Note de bas de page Car Caracter Caracter Char,Note de bas de page Car Char"/>
    <w:basedOn w:val="DefaultParagraphFont"/>
    <w:link w:val="FootnoteText"/>
    <w:rsid w:val="00572744"/>
    <w:rPr>
      <w:rFonts w:ascii="Times New Roman" w:eastAsia="Times New Roman" w:hAnsi="Times New Roman" w:cs="Times New Roman"/>
      <w:sz w:val="24"/>
      <w:szCs w:val="20"/>
      <w:lang w:val="en-GB"/>
    </w:rPr>
  </w:style>
  <w:style w:type="paragraph" w:styleId="BodyTextIndent">
    <w:name w:val="Body Text Indent"/>
    <w:basedOn w:val="Normal"/>
    <w:link w:val="BodyTextIndentChar"/>
    <w:uiPriority w:val="99"/>
    <w:rsid w:val="00572744"/>
    <w:pPr>
      <w:ind w:firstLine="720"/>
      <w:jc w:val="both"/>
    </w:pPr>
    <w:rPr>
      <w:b/>
      <w:sz w:val="28"/>
    </w:rPr>
  </w:style>
  <w:style w:type="character" w:customStyle="1" w:styleId="BodyTextIndentChar">
    <w:name w:val="Body Text Indent Char"/>
    <w:basedOn w:val="DefaultParagraphFont"/>
    <w:link w:val="BodyTextIndent"/>
    <w:uiPriority w:val="99"/>
    <w:rsid w:val="00572744"/>
    <w:rPr>
      <w:rFonts w:ascii="Times New Roman" w:eastAsia="Times New Roman" w:hAnsi="Times New Roman" w:cs="Times New Roman"/>
      <w:b/>
      <w:sz w:val="28"/>
      <w:szCs w:val="20"/>
    </w:rPr>
  </w:style>
  <w:style w:type="paragraph" w:customStyle="1" w:styleId="StyleStyle118pt">
    <w:name w:val="Style Style1 + 18 pt"/>
    <w:basedOn w:val="Normal"/>
    <w:link w:val="StyleStyle118ptChar"/>
    <w:autoRedefine/>
    <w:rsid w:val="00572744"/>
    <w:pPr>
      <w:spacing w:before="840" w:after="480"/>
      <w:contextualSpacing/>
      <w:jc w:val="center"/>
      <w:outlineLvl w:val="0"/>
    </w:pPr>
    <w:rPr>
      <w:b/>
      <w:bCs/>
      <w:i/>
      <w:iCs/>
      <w:kern w:val="28"/>
      <w:sz w:val="22"/>
      <w:szCs w:val="22"/>
      <w:lang w:val="en-GB"/>
    </w:rPr>
  </w:style>
  <w:style w:type="character" w:customStyle="1" w:styleId="StyleStyle118ptChar">
    <w:name w:val="Style Style1 + 18 pt Char"/>
    <w:basedOn w:val="DefaultParagraphFont"/>
    <w:link w:val="StyleStyle118pt"/>
    <w:rsid w:val="00572744"/>
    <w:rPr>
      <w:rFonts w:ascii="Times New Roman" w:eastAsia="Times New Roman" w:hAnsi="Times New Roman" w:cs="Times New Roman"/>
      <w:b/>
      <w:bCs/>
      <w:i/>
      <w:iCs/>
      <w:kern w:val="28"/>
      <w:lang w:val="en-GB"/>
    </w:rPr>
  </w:style>
  <w:style w:type="character" w:styleId="Hyperlink">
    <w:name w:val="Hyperlink"/>
    <w:basedOn w:val="DefaultParagraphFont"/>
    <w:uiPriority w:val="99"/>
    <w:rsid w:val="00572744"/>
    <w:rPr>
      <w:color w:val="0000FF"/>
      <w:u w:val="single"/>
    </w:rPr>
  </w:style>
  <w:style w:type="character" w:customStyle="1" w:styleId="googqs-tidbit1">
    <w:name w:val="goog_qs-tidbit1"/>
    <w:basedOn w:val="DefaultParagraphFont"/>
    <w:rsid w:val="00572744"/>
    <w:rPr>
      <w:vanish w:val="0"/>
      <w:webHidden w:val="0"/>
      <w:specVanish w:val="0"/>
    </w:rPr>
  </w:style>
  <w:style w:type="character" w:styleId="EndnoteReference">
    <w:name w:val="endnote reference"/>
    <w:basedOn w:val="DefaultParagraphFont"/>
    <w:uiPriority w:val="99"/>
    <w:rsid w:val="00572744"/>
    <w:rPr>
      <w:vertAlign w:val="superscript"/>
    </w:rPr>
  </w:style>
  <w:style w:type="character" w:customStyle="1" w:styleId="citation">
    <w:name w:val="citation"/>
    <w:basedOn w:val="DefaultParagraphFont"/>
    <w:rsid w:val="00572744"/>
  </w:style>
  <w:style w:type="character" w:customStyle="1" w:styleId="st">
    <w:name w:val="st"/>
    <w:basedOn w:val="DefaultParagraphFont"/>
    <w:rsid w:val="00572744"/>
  </w:style>
  <w:style w:type="paragraph" w:styleId="Header">
    <w:name w:val="header"/>
    <w:basedOn w:val="Normal"/>
    <w:link w:val="HeaderChar"/>
    <w:uiPriority w:val="99"/>
    <w:rsid w:val="00572744"/>
    <w:pPr>
      <w:tabs>
        <w:tab w:val="center" w:pos="4320"/>
        <w:tab w:val="right" w:pos="8640"/>
      </w:tabs>
    </w:pPr>
    <w:rPr>
      <w:szCs w:val="24"/>
      <w:lang w:val="en-US"/>
    </w:rPr>
  </w:style>
  <w:style w:type="character" w:customStyle="1" w:styleId="HeaderChar">
    <w:name w:val="Header Char"/>
    <w:basedOn w:val="DefaultParagraphFont"/>
    <w:link w:val="Header"/>
    <w:uiPriority w:val="99"/>
    <w:rsid w:val="00572744"/>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en.wikipedia.org/wiki/Jaroslav_Pelika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www.ecum.ro/infoecum/Ro/dokumente/pe-calea-spre-marturia-comuna?month=9&amp;year=2011" TargetMode="External"/><Relationship Id="rId3" Type="http://schemas.openxmlformats.org/officeDocument/2006/relationships/hyperlink" Target="http://www.crestinortodox.ro/editoriale/normal-nefiresc-126442.html" TargetMode="External"/><Relationship Id="rId7" Type="http://schemas.openxmlformats.org/officeDocument/2006/relationships/hyperlink" Target="http://www.ecum.ro/infoecum/dokumente/raportul-final-al-comisiei-speciale" TargetMode="External"/><Relationship Id="rId2" Type="http://schemas.openxmlformats.org/officeDocument/2006/relationships/hyperlink" Target="http://en.wikipedia.org/wiki/Jaroslav_Pelikan" TargetMode="External"/><Relationship Id="rId1" Type="http://schemas.openxmlformats.org/officeDocument/2006/relationships/hyperlink" Target="http://www.orthodox-church.info/eureka/asp/becomingorthodox.asp" TargetMode="External"/><Relationship Id="rId6" Type="http://schemas.openxmlformats.org/officeDocument/2006/relationships/hyperlink" Target="http://www.reuters.com/article/2010/05/16/us-usa-bishop-gay-idUSTRE64F0CD20100516" TargetMode="External"/><Relationship Id="rId11" Type="http://schemas.openxmlformats.org/officeDocument/2006/relationships/hyperlink" Target="http://www.ecum.ro/infoecum/files/misiune_si_evanghelizare_in_unitate.pdf" TargetMode="External"/><Relationship Id="rId5" Type="http://schemas.openxmlformats.org/officeDocument/2006/relationships/hyperlink" Target="http://www.rugulaprins.go.ro/012007.htm" TargetMode="External"/><Relationship Id="rId10" Type="http://schemas.openxmlformats.org/officeDocument/2006/relationships/hyperlink" Target="http://www.ecum.ro/infoecum/search?searchword=elemente+de+istorie" TargetMode="External"/><Relationship Id="rId4" Type="http://schemas.openxmlformats.org/officeDocument/2006/relationships/hyperlink" Target="http://www.reintregirea.ro/index.php?cid=carte-106" TargetMode="External"/><Relationship Id="rId9" Type="http://schemas.openxmlformats.org/officeDocument/2006/relationships/hyperlink" Target="http://www.oikoumene.org/resources/documents/assembly/porto-alegre-2006/1-statements-documents-adopted/christian-unity-and-message-to-the-churches/called-to-be-the-one-church-as-adopte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14346</Words>
  <Characters>83213</Characters>
  <Application>Microsoft Office Word</Application>
  <DocSecurity>0</DocSecurity>
  <Lines>693</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2018-10-30T03:44:00Z</dcterms:created>
  <dcterms:modified xsi:type="dcterms:W3CDTF">2018-10-30T03:44:00Z</dcterms:modified>
</cp:coreProperties>
</file>